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4178" w:rsidRDefault="008F4178">
      <w:r>
        <w:rPr>
          <w:b/>
          <w:noProof/>
          <w:sz w:val="44"/>
          <w:szCs w:val="44"/>
          <w:lang w:eastAsia="en-GB"/>
        </w:rPr>
        <mc:AlternateContent>
          <mc:Choice Requires="wps">
            <w:drawing>
              <wp:anchor distT="0" distB="0" distL="114300" distR="114300" simplePos="0" relativeHeight="251659264" behindDoc="0" locked="0" layoutInCell="1" allowOverlap="1" wp14:anchorId="5ABE0DEF" wp14:editId="48297426">
                <wp:simplePos x="0" y="0"/>
                <wp:positionH relativeFrom="column">
                  <wp:posOffset>-457200</wp:posOffset>
                </wp:positionH>
                <wp:positionV relativeFrom="paragraph">
                  <wp:posOffset>86106</wp:posOffset>
                </wp:positionV>
                <wp:extent cx="7548728" cy="804672"/>
                <wp:effectExtent l="0" t="0" r="14605" b="14605"/>
                <wp:wrapNone/>
                <wp:docPr id="9" name="Rectangle 9"/>
                <wp:cNvGraphicFramePr/>
                <a:graphic xmlns:a="http://schemas.openxmlformats.org/drawingml/2006/main">
                  <a:graphicData uri="http://schemas.microsoft.com/office/word/2010/wordprocessingShape">
                    <wps:wsp>
                      <wps:cNvSpPr/>
                      <wps:spPr>
                        <a:xfrm>
                          <a:off x="0" y="0"/>
                          <a:ext cx="7548728" cy="804672"/>
                        </a:xfrm>
                        <a:prstGeom prst="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178" w:rsidRPr="008F4178" w:rsidRDefault="008F4178" w:rsidP="008F4178">
                            <w:pPr>
                              <w:pStyle w:val="NoSpacing"/>
                              <w:jc w:val="center"/>
                              <w:rPr>
                                <w:sz w:val="44"/>
                                <w:szCs w:val="44"/>
                              </w:rPr>
                            </w:pPr>
                            <w:r w:rsidRPr="008F4178">
                              <w:rPr>
                                <w:sz w:val="44"/>
                                <w:szCs w:val="44"/>
                              </w:rPr>
                              <w:t>FDB OptimiseRX</w:t>
                            </w:r>
                          </w:p>
                          <w:p w:rsidR="008F4178" w:rsidRPr="00127180" w:rsidRDefault="008F4178" w:rsidP="008F4178">
                            <w:pPr>
                              <w:pStyle w:val="NoSpacing"/>
                              <w:jc w:val="center"/>
                              <w:rPr>
                                <w:rFonts w:ascii="Arial" w:eastAsia="Calibri" w:hAnsi="Arial" w:cs="Arial"/>
                                <w:noProof/>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27180">
                              <w:rPr>
                                <w:rFonts w:ascii="Arial" w:eastAsia="Calibri" w:hAnsi="Arial" w:cs="Arial"/>
                                <w:noProof/>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Update from the Medicines Management Team</w:t>
                            </w:r>
                          </w:p>
                          <w:p w:rsidR="008F4178" w:rsidRDefault="008F4178" w:rsidP="008F4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pt;margin-top:6.8pt;width:594.4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" fillcolor="#0070c0" strokecolor="#00b0f0" strokeweight="2pt">
                <v:textbox>
                  <w:txbxContent>
                    <w:p w:rsidR="008F4178" w:rsidRPr="008F4178" w:rsidRDefault="008F4178" w:rsidP="008F4178">
                      <w:pPr>
                        <w:pStyle w:val="NoSpacing"/>
                        <w:jc w:val="center"/>
                        <w:rPr>
                          <w:sz w:val="44"/>
                          <w:szCs w:val="44"/>
                        </w:rPr>
                      </w:pPr>
                      <w:r w:rsidRPr="008F4178">
                        <w:rPr>
                          <w:sz w:val="44"/>
                          <w:szCs w:val="44"/>
                        </w:rPr>
                        <w:t xml:space="preserve">FDB </w:t>
                      </w:r>
                      <w:proofErr w:type="spellStart"/>
                      <w:r w:rsidRPr="008F4178">
                        <w:rPr>
                          <w:sz w:val="44"/>
                          <w:szCs w:val="44"/>
                        </w:rPr>
                        <w:t>OptimiseRX</w:t>
                      </w:r>
                      <w:proofErr w:type="spellEnd"/>
                    </w:p>
                    <w:p w:rsidR="008F4178" w:rsidRPr="00127180" w:rsidRDefault="008F4178" w:rsidP="008F4178">
                      <w:pPr>
                        <w:pStyle w:val="NoSpacing"/>
                        <w:jc w:val="center"/>
                        <w:rPr>
                          <w:rFonts w:ascii="Arial" w:eastAsia="Calibri" w:hAnsi="Arial" w:cs="Arial"/>
                          <w:noProof/>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27180">
                        <w:rPr>
                          <w:rFonts w:ascii="Arial" w:eastAsia="Calibri" w:hAnsi="Arial" w:cs="Arial"/>
                          <w:noProof/>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Update from the Medicines Management Team</w:t>
                      </w:r>
                    </w:p>
                    <w:p w:rsidR="008F4178" w:rsidRDefault="008F4178" w:rsidP="008F4178">
                      <w:pPr>
                        <w:jc w:val="center"/>
                      </w:pPr>
                    </w:p>
                  </w:txbxContent>
                </v:textbox>
              </v:rect>
            </w:pict>
          </mc:Fallback>
        </mc:AlternateContent>
      </w:r>
    </w:p>
    <w:p w:rsidR="008F4178" w:rsidRDefault="008F4178"/>
    <w:p w:rsidR="008F4178" w:rsidRDefault="008F4178"/>
    <w:p w:rsidR="00975E18" w:rsidRPr="00177390" w:rsidRDefault="005D3331">
      <w:pPr>
        <w:rPr>
          <w:rFonts w:ascii="Arial" w:hAnsi="Arial" w:cs="Arial"/>
        </w:rPr>
      </w:pPr>
      <w:r w:rsidRPr="00177390">
        <w:rPr>
          <w:rFonts w:ascii="Arial" w:hAnsi="Arial" w:cs="Arial"/>
        </w:rPr>
        <w:t>Optimise</w:t>
      </w:r>
      <w:r w:rsidR="00127180" w:rsidRPr="00177390">
        <w:rPr>
          <w:rFonts w:ascii="Arial" w:hAnsi="Arial" w:cs="Arial"/>
        </w:rPr>
        <w:t xml:space="preserve"> </w:t>
      </w:r>
      <w:r w:rsidRPr="00177390">
        <w:rPr>
          <w:rFonts w:ascii="Arial" w:hAnsi="Arial" w:cs="Arial"/>
        </w:rPr>
        <w:t>Rx is</w:t>
      </w:r>
      <w:r w:rsidR="00975E18" w:rsidRPr="00177390">
        <w:rPr>
          <w:rFonts w:ascii="Arial" w:hAnsi="Arial" w:cs="Arial"/>
        </w:rPr>
        <w:t xml:space="preserve"> an important part of the medicines optimisation strategy designed to deliver key quality and cost savings messages at the point of prescribing where the team cannot. The MMT actively manages the profile to try to increase the value of the system to practices. This bulletin highlights some trends we have noticed</w:t>
      </w:r>
      <w:r w:rsidR="00127180" w:rsidRPr="00177390">
        <w:rPr>
          <w:rFonts w:ascii="Arial" w:hAnsi="Arial" w:cs="Arial"/>
        </w:rPr>
        <w:t>, messages with high levels of rejection</w:t>
      </w:r>
      <w:r w:rsidR="00975E18" w:rsidRPr="00177390">
        <w:rPr>
          <w:rFonts w:ascii="Arial" w:hAnsi="Arial" w:cs="Arial"/>
        </w:rPr>
        <w:t xml:space="preserve"> and suggest</w:t>
      </w:r>
      <w:r w:rsidR="00127180" w:rsidRPr="00177390">
        <w:rPr>
          <w:rFonts w:ascii="Arial" w:hAnsi="Arial" w:cs="Arial"/>
        </w:rPr>
        <w:t>s</w:t>
      </w:r>
      <w:r w:rsidR="00975E18" w:rsidRPr="00177390">
        <w:rPr>
          <w:rFonts w:ascii="Arial" w:hAnsi="Arial" w:cs="Arial"/>
        </w:rPr>
        <w:t xml:space="preserve"> steps practices can take to increase relevance of the system. The MMT continue to adjust the profile and deactivate less useful prompts</w:t>
      </w:r>
      <w:r w:rsidR="00127180" w:rsidRPr="00177390">
        <w:rPr>
          <w:rFonts w:ascii="Arial" w:hAnsi="Arial" w:cs="Arial"/>
        </w:rPr>
        <w:t>.</w:t>
      </w:r>
    </w:p>
    <w:p w:rsidR="005D3331" w:rsidRPr="00177390" w:rsidRDefault="00975E18">
      <w:pPr>
        <w:rPr>
          <w:rFonts w:ascii="Arial" w:hAnsi="Arial" w:cs="Arial"/>
          <w:i/>
        </w:rPr>
      </w:pPr>
      <w:r w:rsidRPr="00177390">
        <w:rPr>
          <w:rFonts w:ascii="Arial" w:hAnsi="Arial" w:cs="Arial"/>
        </w:rPr>
        <w:t xml:space="preserve">Optimise Rx is </w:t>
      </w:r>
      <w:r w:rsidR="005D3331" w:rsidRPr="00177390">
        <w:rPr>
          <w:rFonts w:ascii="Arial" w:hAnsi="Arial" w:cs="Arial"/>
        </w:rPr>
        <w:t>now in its second year</w:t>
      </w:r>
      <w:r w:rsidR="00127180" w:rsidRPr="00177390">
        <w:rPr>
          <w:rFonts w:ascii="Arial" w:hAnsi="Arial" w:cs="Arial"/>
        </w:rPr>
        <w:t>.</w:t>
      </w:r>
      <w:r w:rsidR="005D3331" w:rsidRPr="00177390">
        <w:rPr>
          <w:rFonts w:ascii="Arial" w:hAnsi="Arial" w:cs="Arial"/>
        </w:rPr>
        <w:t xml:space="preserve"> Recently the acceptance level of messages has fallen to </w:t>
      </w:r>
      <w:r w:rsidR="00200EB3" w:rsidRPr="00177390">
        <w:rPr>
          <w:rFonts w:ascii="Arial" w:hAnsi="Arial" w:cs="Arial"/>
        </w:rPr>
        <w:t>15</w:t>
      </w:r>
      <w:r w:rsidR="005D3331" w:rsidRPr="00177390">
        <w:rPr>
          <w:rFonts w:ascii="Arial" w:hAnsi="Arial" w:cs="Arial"/>
        </w:rPr>
        <w:t xml:space="preserve">% with the industry average being around </w:t>
      </w:r>
      <w:r w:rsidR="00200EB3" w:rsidRPr="00177390">
        <w:rPr>
          <w:rFonts w:ascii="Arial" w:hAnsi="Arial" w:cs="Arial"/>
        </w:rPr>
        <w:t>21.5</w:t>
      </w:r>
      <w:r w:rsidR="005D3331" w:rsidRPr="00177390">
        <w:rPr>
          <w:rFonts w:ascii="Arial" w:hAnsi="Arial" w:cs="Arial"/>
        </w:rPr>
        <w:t xml:space="preserve">%.  </w:t>
      </w:r>
      <w:r w:rsidR="006F5847" w:rsidRPr="00177390">
        <w:rPr>
          <w:rFonts w:ascii="Arial" w:hAnsi="Arial" w:cs="Arial"/>
        </w:rPr>
        <w:t>(</w:t>
      </w:r>
      <w:r w:rsidR="005D3331" w:rsidRPr="00177390">
        <w:rPr>
          <w:rFonts w:ascii="Arial" w:hAnsi="Arial" w:cs="Arial"/>
          <w:i/>
        </w:rPr>
        <w:t>Details of each practices acceptance</w:t>
      </w:r>
      <w:r w:rsidR="007D1BD6" w:rsidRPr="00177390">
        <w:rPr>
          <w:rFonts w:ascii="Arial" w:hAnsi="Arial" w:cs="Arial"/>
          <w:i/>
        </w:rPr>
        <w:t xml:space="preserve"> rates</w:t>
      </w:r>
      <w:r w:rsidR="00DF694E" w:rsidRPr="00177390">
        <w:rPr>
          <w:rFonts w:ascii="Arial" w:hAnsi="Arial" w:cs="Arial"/>
          <w:i/>
        </w:rPr>
        <w:t xml:space="preserve"> are </w:t>
      </w:r>
      <w:r w:rsidR="008F4178" w:rsidRPr="00177390">
        <w:rPr>
          <w:rFonts w:ascii="Arial" w:hAnsi="Arial" w:cs="Arial"/>
          <w:i/>
        </w:rPr>
        <w:t>below</w:t>
      </w:r>
      <w:r w:rsidR="006F5847" w:rsidRPr="00177390">
        <w:rPr>
          <w:rFonts w:ascii="Arial" w:hAnsi="Arial" w:cs="Arial"/>
          <w:i/>
        </w:rPr>
        <w:t>)</w:t>
      </w:r>
    </w:p>
    <w:p w:rsidR="007D5F92" w:rsidRPr="00177390" w:rsidRDefault="008F4178">
      <w:pPr>
        <w:rPr>
          <w:rFonts w:ascii="Arial" w:hAnsi="Arial" w:cs="Arial"/>
        </w:rPr>
      </w:pPr>
      <w:r w:rsidRPr="00177390">
        <w:rPr>
          <w:rFonts w:ascii="Arial" w:hAnsi="Arial" w:cs="Arial"/>
        </w:rPr>
        <w:t>Optimise</w:t>
      </w:r>
      <w:r w:rsidR="00127180" w:rsidRPr="00177390">
        <w:rPr>
          <w:rFonts w:ascii="Arial" w:hAnsi="Arial" w:cs="Arial"/>
        </w:rPr>
        <w:t xml:space="preserve"> </w:t>
      </w:r>
      <w:r w:rsidRPr="00177390">
        <w:rPr>
          <w:rFonts w:ascii="Arial" w:hAnsi="Arial" w:cs="Arial"/>
        </w:rPr>
        <w:t xml:space="preserve">Rx </w:t>
      </w:r>
      <w:r w:rsidR="007D5F92" w:rsidRPr="00177390">
        <w:rPr>
          <w:rFonts w:ascii="Arial" w:hAnsi="Arial" w:cs="Arial"/>
        </w:rPr>
        <w:t xml:space="preserve">takes into account the full </w:t>
      </w:r>
      <w:r w:rsidR="00127180" w:rsidRPr="00177390">
        <w:rPr>
          <w:rFonts w:ascii="Arial" w:hAnsi="Arial" w:cs="Arial"/>
        </w:rPr>
        <w:t>patient’s</w:t>
      </w:r>
      <w:r w:rsidR="007D5F92" w:rsidRPr="00177390">
        <w:rPr>
          <w:rFonts w:ascii="Arial" w:hAnsi="Arial" w:cs="Arial"/>
        </w:rPr>
        <w:t xml:space="preserve"> history (as Read coded), messages are offered based on evidence based best practice, safety and cost.  </w:t>
      </w:r>
    </w:p>
    <w:p w:rsidR="008F4178" w:rsidRPr="00177390" w:rsidRDefault="007D5F92">
      <w:pPr>
        <w:rPr>
          <w:rFonts w:ascii="Arial" w:hAnsi="Arial" w:cs="Arial"/>
        </w:rPr>
      </w:pPr>
      <w:r w:rsidRPr="00177390">
        <w:rPr>
          <w:rFonts w:ascii="Arial" w:hAnsi="Arial" w:cs="Arial"/>
        </w:rPr>
        <w:t xml:space="preserve">Current messages are reviewed and new messages are added to ensure the most up to date national guidance and local formulary guidance is offered.    </w:t>
      </w:r>
    </w:p>
    <w:p w:rsidR="00127180" w:rsidRPr="00177390" w:rsidRDefault="007D1BD6" w:rsidP="00843D9B">
      <w:pPr>
        <w:rPr>
          <w:rFonts w:ascii="Arial" w:hAnsi="Arial" w:cs="Arial"/>
        </w:rPr>
      </w:pPr>
      <w:r w:rsidRPr="00177390">
        <w:rPr>
          <w:rFonts w:ascii="Arial" w:hAnsi="Arial" w:cs="Arial"/>
        </w:rPr>
        <w:t>We</w:t>
      </w:r>
      <w:r w:rsidR="00E1294D" w:rsidRPr="00177390">
        <w:rPr>
          <w:rFonts w:ascii="Arial" w:hAnsi="Arial" w:cs="Arial"/>
        </w:rPr>
        <w:t xml:space="preserve"> would </w:t>
      </w:r>
      <w:r w:rsidR="005D3331" w:rsidRPr="00177390">
        <w:rPr>
          <w:rFonts w:ascii="Arial" w:hAnsi="Arial" w:cs="Arial"/>
        </w:rPr>
        <w:t xml:space="preserve">like to </w:t>
      </w:r>
      <w:r w:rsidR="00E1294D" w:rsidRPr="00177390">
        <w:rPr>
          <w:rFonts w:ascii="Arial" w:hAnsi="Arial" w:cs="Arial"/>
        </w:rPr>
        <w:t>encourage that</w:t>
      </w:r>
      <w:r w:rsidR="005D3331" w:rsidRPr="00177390">
        <w:rPr>
          <w:rFonts w:ascii="Arial" w:hAnsi="Arial" w:cs="Arial"/>
        </w:rPr>
        <w:t xml:space="preserve"> all prescribers</w:t>
      </w:r>
      <w:r w:rsidR="006337B9" w:rsidRPr="00177390">
        <w:rPr>
          <w:rFonts w:ascii="Arial" w:hAnsi="Arial" w:cs="Arial"/>
        </w:rPr>
        <w:t xml:space="preserve"> consider accepting</w:t>
      </w:r>
      <w:r w:rsidR="005D3331" w:rsidRPr="00177390">
        <w:rPr>
          <w:rFonts w:ascii="Arial" w:hAnsi="Arial" w:cs="Arial"/>
        </w:rPr>
        <w:t xml:space="preserve"> </w:t>
      </w:r>
      <w:r w:rsidR="00127180" w:rsidRPr="00177390">
        <w:rPr>
          <w:rFonts w:ascii="Arial" w:hAnsi="Arial" w:cs="Arial"/>
        </w:rPr>
        <w:t xml:space="preserve">the </w:t>
      </w:r>
      <w:r w:rsidR="005D3331" w:rsidRPr="00177390">
        <w:rPr>
          <w:rFonts w:ascii="Arial" w:hAnsi="Arial" w:cs="Arial"/>
        </w:rPr>
        <w:t>messages</w:t>
      </w:r>
      <w:r w:rsidR="00127180" w:rsidRPr="00177390">
        <w:rPr>
          <w:rFonts w:ascii="Arial" w:hAnsi="Arial" w:cs="Arial"/>
        </w:rPr>
        <w:t xml:space="preserve"> listed</w:t>
      </w:r>
      <w:r w:rsidR="006F5847" w:rsidRPr="00177390">
        <w:rPr>
          <w:rFonts w:ascii="Arial" w:hAnsi="Arial" w:cs="Arial"/>
        </w:rPr>
        <w:t xml:space="preserve"> or update</w:t>
      </w:r>
      <w:r w:rsidRPr="00177390">
        <w:rPr>
          <w:rFonts w:ascii="Arial" w:hAnsi="Arial" w:cs="Arial"/>
        </w:rPr>
        <w:t xml:space="preserve"> patients</w:t>
      </w:r>
      <w:r w:rsidR="006337B9" w:rsidRPr="00177390">
        <w:rPr>
          <w:rFonts w:ascii="Arial" w:hAnsi="Arial" w:cs="Arial"/>
        </w:rPr>
        <w:t xml:space="preserve"> read codes </w:t>
      </w:r>
      <w:r w:rsidR="006F5847" w:rsidRPr="00177390">
        <w:rPr>
          <w:rFonts w:ascii="Arial" w:hAnsi="Arial" w:cs="Arial"/>
        </w:rPr>
        <w:t>to avoid inappropriate messages being offered</w:t>
      </w:r>
      <w:r w:rsidR="00127180" w:rsidRPr="00177390">
        <w:rPr>
          <w:rFonts w:ascii="Arial" w:hAnsi="Arial" w:cs="Arial"/>
        </w:rPr>
        <w:t>.</w:t>
      </w:r>
    </w:p>
    <w:sdt>
      <w:sdtPr>
        <w:rPr>
          <w:b w:val="0"/>
        </w:rPr>
        <w:id w:val="-1397822618"/>
        <w:docPartObj>
          <w:docPartGallery w:val="Table of Contents"/>
          <w:docPartUnique/>
        </w:docPartObj>
      </w:sdtPr>
      <w:sdtEndPr>
        <w:rPr>
          <w:bCs/>
          <w:noProof/>
        </w:rPr>
      </w:sdtEndPr>
      <w:sdtContent>
        <w:p w:rsidR="00127180" w:rsidRDefault="00127180">
          <w:pPr>
            <w:pStyle w:val="TOCHeading"/>
          </w:pPr>
          <w:r>
            <w:t>Contents</w:t>
          </w:r>
        </w:p>
        <w:p w:rsidR="00127180" w:rsidRPr="00177390" w:rsidRDefault="00127180">
          <w:pPr>
            <w:pStyle w:val="TOC1"/>
            <w:tabs>
              <w:tab w:val="right" w:leader="dot" w:pos="10456"/>
            </w:tabs>
            <w:rPr>
              <w:rFonts w:ascii="Arial" w:eastAsiaTheme="minorEastAsia" w:hAnsi="Arial" w:cs="Arial"/>
              <w:noProof/>
              <w:lang w:eastAsia="en-GB"/>
            </w:rPr>
          </w:pPr>
          <w:r>
            <w:fldChar w:fldCharType="begin"/>
          </w:r>
          <w:r>
            <w:instrText xml:space="preserve"> TOC \o "1-3" \h \z \u </w:instrText>
          </w:r>
          <w:r>
            <w:fldChar w:fldCharType="separate"/>
          </w:r>
          <w:hyperlink w:anchor="_Toc524684524" w:history="1">
            <w:r w:rsidRPr="00177390">
              <w:rPr>
                <w:rStyle w:val="Hyperlink"/>
                <w:rFonts w:ascii="Arial" w:eastAsia="Times New Roman" w:hAnsi="Arial" w:cs="Arial"/>
                <w:bCs/>
                <w:caps/>
                <w:noProof/>
                <w:spacing w:val="15"/>
              </w:rPr>
              <w:t>Best Practice Message Highlights</w:t>
            </w:r>
            <w:r w:rsidRPr="00177390">
              <w:rPr>
                <w:rFonts w:ascii="Arial" w:hAnsi="Arial" w:cs="Arial"/>
                <w:noProof/>
                <w:webHidden/>
              </w:rPr>
              <w:tab/>
            </w:r>
            <w:r w:rsidRPr="00177390">
              <w:rPr>
                <w:rFonts w:ascii="Arial" w:hAnsi="Arial" w:cs="Arial"/>
                <w:noProof/>
                <w:webHidden/>
              </w:rPr>
              <w:fldChar w:fldCharType="begin"/>
            </w:r>
            <w:r w:rsidRPr="00177390">
              <w:rPr>
                <w:rFonts w:ascii="Arial" w:hAnsi="Arial" w:cs="Arial"/>
                <w:noProof/>
                <w:webHidden/>
              </w:rPr>
              <w:instrText xml:space="preserve"> PAGEREF _Toc524684524 \h </w:instrText>
            </w:r>
            <w:r w:rsidRPr="00177390">
              <w:rPr>
                <w:rFonts w:ascii="Arial" w:hAnsi="Arial" w:cs="Arial"/>
                <w:noProof/>
                <w:webHidden/>
              </w:rPr>
            </w:r>
            <w:r w:rsidRPr="00177390">
              <w:rPr>
                <w:rFonts w:ascii="Arial" w:hAnsi="Arial" w:cs="Arial"/>
                <w:noProof/>
                <w:webHidden/>
              </w:rPr>
              <w:fldChar w:fldCharType="separate"/>
            </w:r>
            <w:r w:rsidR="00A9629B">
              <w:rPr>
                <w:rFonts w:ascii="Arial" w:hAnsi="Arial" w:cs="Arial"/>
                <w:noProof/>
                <w:webHidden/>
              </w:rPr>
              <w:t>1</w:t>
            </w:r>
            <w:r w:rsidRPr="00177390">
              <w:rPr>
                <w:rFonts w:ascii="Arial" w:hAnsi="Arial" w:cs="Arial"/>
                <w:noProof/>
                <w:webHidden/>
              </w:rPr>
              <w:fldChar w:fldCharType="end"/>
            </w:r>
          </w:hyperlink>
        </w:p>
        <w:p w:rsidR="00127180" w:rsidRPr="00177390" w:rsidRDefault="009A713B">
          <w:pPr>
            <w:pStyle w:val="TOC1"/>
            <w:tabs>
              <w:tab w:val="right" w:leader="dot" w:pos="10456"/>
            </w:tabs>
            <w:rPr>
              <w:rFonts w:ascii="Arial" w:eastAsiaTheme="minorEastAsia" w:hAnsi="Arial" w:cs="Arial"/>
              <w:noProof/>
              <w:lang w:eastAsia="en-GB"/>
            </w:rPr>
          </w:pPr>
          <w:hyperlink w:anchor="_Toc524684525" w:history="1">
            <w:r w:rsidR="00127180" w:rsidRPr="00177390">
              <w:rPr>
                <w:rStyle w:val="Hyperlink"/>
                <w:rFonts w:ascii="Arial" w:eastAsia="Times New Roman" w:hAnsi="Arial" w:cs="Arial"/>
                <w:bCs/>
                <w:caps/>
                <w:noProof/>
                <w:spacing w:val="15"/>
              </w:rPr>
              <w:t>Best Practice Message – Graphs per locality</w:t>
            </w:r>
            <w:r w:rsidR="00127180" w:rsidRPr="00177390">
              <w:rPr>
                <w:rFonts w:ascii="Arial" w:hAnsi="Arial" w:cs="Arial"/>
                <w:noProof/>
                <w:webHidden/>
              </w:rPr>
              <w:tab/>
            </w:r>
            <w:r w:rsidR="00127180" w:rsidRPr="00177390">
              <w:rPr>
                <w:rFonts w:ascii="Arial" w:hAnsi="Arial" w:cs="Arial"/>
                <w:noProof/>
                <w:webHidden/>
              </w:rPr>
              <w:fldChar w:fldCharType="begin"/>
            </w:r>
            <w:r w:rsidR="00127180" w:rsidRPr="00177390">
              <w:rPr>
                <w:rFonts w:ascii="Arial" w:hAnsi="Arial" w:cs="Arial"/>
                <w:noProof/>
                <w:webHidden/>
              </w:rPr>
              <w:instrText xml:space="preserve"> PAGEREF _Toc524684525 \h </w:instrText>
            </w:r>
            <w:r w:rsidR="00127180" w:rsidRPr="00177390">
              <w:rPr>
                <w:rFonts w:ascii="Arial" w:hAnsi="Arial" w:cs="Arial"/>
                <w:noProof/>
                <w:webHidden/>
              </w:rPr>
            </w:r>
            <w:r w:rsidR="00127180" w:rsidRPr="00177390">
              <w:rPr>
                <w:rFonts w:ascii="Arial" w:hAnsi="Arial" w:cs="Arial"/>
                <w:noProof/>
                <w:webHidden/>
              </w:rPr>
              <w:fldChar w:fldCharType="separate"/>
            </w:r>
            <w:r w:rsidR="00A9629B">
              <w:rPr>
                <w:rFonts w:ascii="Arial" w:hAnsi="Arial" w:cs="Arial"/>
                <w:noProof/>
                <w:webHidden/>
              </w:rPr>
              <w:t>2</w:t>
            </w:r>
            <w:r w:rsidR="00127180" w:rsidRPr="00177390">
              <w:rPr>
                <w:rFonts w:ascii="Arial" w:hAnsi="Arial" w:cs="Arial"/>
                <w:noProof/>
                <w:webHidden/>
              </w:rPr>
              <w:fldChar w:fldCharType="end"/>
            </w:r>
          </w:hyperlink>
        </w:p>
        <w:p w:rsidR="00127180" w:rsidRPr="00177390" w:rsidRDefault="009A713B">
          <w:pPr>
            <w:pStyle w:val="TOC1"/>
            <w:tabs>
              <w:tab w:val="right" w:leader="dot" w:pos="10456"/>
            </w:tabs>
            <w:rPr>
              <w:rFonts w:ascii="Arial" w:eastAsiaTheme="minorEastAsia" w:hAnsi="Arial" w:cs="Arial"/>
              <w:noProof/>
              <w:lang w:eastAsia="en-GB"/>
            </w:rPr>
          </w:pPr>
          <w:hyperlink w:anchor="_Toc524684526" w:history="1">
            <w:r w:rsidR="00127180" w:rsidRPr="00177390">
              <w:rPr>
                <w:rStyle w:val="Hyperlink"/>
                <w:rFonts w:ascii="Arial" w:eastAsia="Times New Roman" w:hAnsi="Arial" w:cs="Arial"/>
                <w:bCs/>
                <w:caps/>
                <w:noProof/>
                <w:spacing w:val="15"/>
              </w:rPr>
              <w:t>Cost Message Highlights</w:t>
            </w:r>
            <w:r w:rsidR="00127180" w:rsidRPr="00177390">
              <w:rPr>
                <w:rFonts w:ascii="Arial" w:hAnsi="Arial" w:cs="Arial"/>
                <w:noProof/>
                <w:webHidden/>
              </w:rPr>
              <w:tab/>
            </w:r>
            <w:r w:rsidR="00127180" w:rsidRPr="00177390">
              <w:rPr>
                <w:rFonts w:ascii="Arial" w:hAnsi="Arial" w:cs="Arial"/>
                <w:noProof/>
                <w:webHidden/>
              </w:rPr>
              <w:fldChar w:fldCharType="begin"/>
            </w:r>
            <w:r w:rsidR="00127180" w:rsidRPr="00177390">
              <w:rPr>
                <w:rFonts w:ascii="Arial" w:hAnsi="Arial" w:cs="Arial"/>
                <w:noProof/>
                <w:webHidden/>
              </w:rPr>
              <w:instrText xml:space="preserve"> PAGEREF _Toc524684526 \h </w:instrText>
            </w:r>
            <w:r w:rsidR="00127180" w:rsidRPr="00177390">
              <w:rPr>
                <w:rFonts w:ascii="Arial" w:hAnsi="Arial" w:cs="Arial"/>
                <w:noProof/>
                <w:webHidden/>
              </w:rPr>
            </w:r>
            <w:r w:rsidR="00127180" w:rsidRPr="00177390">
              <w:rPr>
                <w:rFonts w:ascii="Arial" w:hAnsi="Arial" w:cs="Arial"/>
                <w:noProof/>
                <w:webHidden/>
              </w:rPr>
              <w:fldChar w:fldCharType="separate"/>
            </w:r>
            <w:r w:rsidR="00A9629B">
              <w:rPr>
                <w:rFonts w:ascii="Arial" w:hAnsi="Arial" w:cs="Arial"/>
                <w:noProof/>
                <w:webHidden/>
              </w:rPr>
              <w:t>3</w:t>
            </w:r>
            <w:r w:rsidR="00127180" w:rsidRPr="00177390">
              <w:rPr>
                <w:rFonts w:ascii="Arial" w:hAnsi="Arial" w:cs="Arial"/>
                <w:noProof/>
                <w:webHidden/>
              </w:rPr>
              <w:fldChar w:fldCharType="end"/>
            </w:r>
          </w:hyperlink>
        </w:p>
        <w:p w:rsidR="00127180" w:rsidRPr="00177390" w:rsidRDefault="009A713B">
          <w:pPr>
            <w:pStyle w:val="TOC1"/>
            <w:tabs>
              <w:tab w:val="right" w:leader="dot" w:pos="10456"/>
            </w:tabs>
            <w:rPr>
              <w:rFonts w:ascii="Arial" w:eastAsiaTheme="minorEastAsia" w:hAnsi="Arial" w:cs="Arial"/>
              <w:noProof/>
              <w:lang w:eastAsia="en-GB"/>
            </w:rPr>
          </w:pPr>
          <w:hyperlink w:anchor="_Toc524684527" w:history="1">
            <w:r w:rsidR="00127180" w:rsidRPr="00177390">
              <w:rPr>
                <w:rStyle w:val="Hyperlink"/>
                <w:rFonts w:ascii="Arial" w:eastAsia="Times New Roman" w:hAnsi="Arial" w:cs="Arial"/>
                <w:bCs/>
                <w:caps/>
                <w:noProof/>
                <w:spacing w:val="15"/>
              </w:rPr>
              <w:t>FDB Medication Review Button (S1 only)</w:t>
            </w:r>
            <w:r w:rsidR="00127180" w:rsidRPr="00177390">
              <w:rPr>
                <w:rFonts w:ascii="Arial" w:hAnsi="Arial" w:cs="Arial"/>
                <w:noProof/>
                <w:webHidden/>
              </w:rPr>
              <w:tab/>
            </w:r>
            <w:r w:rsidR="00127180" w:rsidRPr="00177390">
              <w:rPr>
                <w:rFonts w:ascii="Arial" w:hAnsi="Arial" w:cs="Arial"/>
                <w:noProof/>
                <w:webHidden/>
              </w:rPr>
              <w:fldChar w:fldCharType="begin"/>
            </w:r>
            <w:r w:rsidR="00127180" w:rsidRPr="00177390">
              <w:rPr>
                <w:rFonts w:ascii="Arial" w:hAnsi="Arial" w:cs="Arial"/>
                <w:noProof/>
                <w:webHidden/>
              </w:rPr>
              <w:instrText xml:space="preserve"> PAGEREF _Toc524684527 \h </w:instrText>
            </w:r>
            <w:r w:rsidR="00127180" w:rsidRPr="00177390">
              <w:rPr>
                <w:rFonts w:ascii="Arial" w:hAnsi="Arial" w:cs="Arial"/>
                <w:noProof/>
                <w:webHidden/>
              </w:rPr>
            </w:r>
            <w:r w:rsidR="00127180" w:rsidRPr="00177390">
              <w:rPr>
                <w:rFonts w:ascii="Arial" w:hAnsi="Arial" w:cs="Arial"/>
                <w:noProof/>
                <w:webHidden/>
              </w:rPr>
              <w:fldChar w:fldCharType="separate"/>
            </w:r>
            <w:r w:rsidR="00A9629B">
              <w:rPr>
                <w:rFonts w:ascii="Arial" w:hAnsi="Arial" w:cs="Arial"/>
                <w:noProof/>
                <w:webHidden/>
              </w:rPr>
              <w:t>4</w:t>
            </w:r>
            <w:r w:rsidR="00127180" w:rsidRPr="00177390">
              <w:rPr>
                <w:rFonts w:ascii="Arial" w:hAnsi="Arial" w:cs="Arial"/>
                <w:noProof/>
                <w:webHidden/>
              </w:rPr>
              <w:fldChar w:fldCharType="end"/>
            </w:r>
          </w:hyperlink>
        </w:p>
        <w:p w:rsidR="00127180" w:rsidRPr="00177390" w:rsidRDefault="009A713B">
          <w:pPr>
            <w:pStyle w:val="TOC1"/>
            <w:tabs>
              <w:tab w:val="right" w:leader="dot" w:pos="10456"/>
            </w:tabs>
            <w:rPr>
              <w:rFonts w:ascii="Arial" w:eastAsiaTheme="minorEastAsia" w:hAnsi="Arial" w:cs="Arial"/>
              <w:noProof/>
              <w:lang w:eastAsia="en-GB"/>
            </w:rPr>
          </w:pPr>
          <w:hyperlink w:anchor="_Toc524684528" w:history="1">
            <w:r w:rsidR="00127180" w:rsidRPr="00177390">
              <w:rPr>
                <w:rStyle w:val="Hyperlink"/>
                <w:rFonts w:ascii="Arial" w:eastAsia="Times New Roman" w:hAnsi="Arial" w:cs="Arial"/>
                <w:bCs/>
                <w:caps/>
                <w:noProof/>
                <w:spacing w:val="15"/>
              </w:rPr>
              <w:t>Contact us</w:t>
            </w:r>
            <w:r w:rsidR="00127180" w:rsidRPr="00177390">
              <w:rPr>
                <w:rFonts w:ascii="Arial" w:hAnsi="Arial" w:cs="Arial"/>
                <w:noProof/>
                <w:webHidden/>
              </w:rPr>
              <w:tab/>
            </w:r>
            <w:r w:rsidR="00127180" w:rsidRPr="00177390">
              <w:rPr>
                <w:rFonts w:ascii="Arial" w:hAnsi="Arial" w:cs="Arial"/>
                <w:noProof/>
                <w:webHidden/>
              </w:rPr>
              <w:fldChar w:fldCharType="begin"/>
            </w:r>
            <w:r w:rsidR="00127180" w:rsidRPr="00177390">
              <w:rPr>
                <w:rFonts w:ascii="Arial" w:hAnsi="Arial" w:cs="Arial"/>
                <w:noProof/>
                <w:webHidden/>
              </w:rPr>
              <w:instrText xml:space="preserve"> PAGEREF _Toc524684528 \h </w:instrText>
            </w:r>
            <w:r w:rsidR="00127180" w:rsidRPr="00177390">
              <w:rPr>
                <w:rFonts w:ascii="Arial" w:hAnsi="Arial" w:cs="Arial"/>
                <w:noProof/>
                <w:webHidden/>
              </w:rPr>
            </w:r>
            <w:r w:rsidR="00127180" w:rsidRPr="00177390">
              <w:rPr>
                <w:rFonts w:ascii="Arial" w:hAnsi="Arial" w:cs="Arial"/>
                <w:noProof/>
                <w:webHidden/>
              </w:rPr>
              <w:fldChar w:fldCharType="separate"/>
            </w:r>
            <w:r w:rsidR="00A9629B">
              <w:rPr>
                <w:rFonts w:ascii="Arial" w:hAnsi="Arial" w:cs="Arial"/>
                <w:noProof/>
                <w:webHidden/>
              </w:rPr>
              <w:t>4</w:t>
            </w:r>
            <w:r w:rsidR="00127180" w:rsidRPr="00177390">
              <w:rPr>
                <w:rFonts w:ascii="Arial" w:hAnsi="Arial" w:cs="Arial"/>
                <w:noProof/>
                <w:webHidden/>
              </w:rPr>
              <w:fldChar w:fldCharType="end"/>
            </w:r>
          </w:hyperlink>
        </w:p>
        <w:p w:rsidR="001771AD" w:rsidRDefault="00127180" w:rsidP="00843D9B">
          <w:r>
            <w:rPr>
              <w:b/>
              <w:bCs/>
              <w:noProof/>
            </w:rPr>
            <w:fldChar w:fldCharType="end"/>
          </w:r>
        </w:p>
      </w:sdtContent>
    </w:sdt>
    <w:p w:rsidR="00127180" w:rsidRPr="00127180" w:rsidRDefault="00127180" w:rsidP="00127180">
      <w:pPr>
        <w:pStyle w:val="Heading1"/>
        <w:pBdr>
          <w:top w:val="single" w:sz="24" w:space="0" w:color="0F6FC6"/>
          <w:left w:val="single" w:sz="24" w:space="0" w:color="0F6FC6"/>
          <w:bottom w:val="single" w:sz="24" w:space="0" w:color="0F6FC6"/>
          <w:right w:val="single" w:sz="24" w:space="0" w:color="0F6FC6"/>
        </w:pBdr>
        <w:shd w:val="clear" w:color="auto" w:fill="0F6FC6"/>
        <w:spacing w:before="200" w:after="0"/>
        <w:rPr>
          <w:rFonts w:ascii="Arial" w:eastAsia="Times New Roman" w:hAnsi="Arial" w:cs="Arial"/>
          <w:bCs/>
          <w:caps/>
          <w:color w:val="FFFFFF"/>
          <w:spacing w:val="15"/>
        </w:rPr>
      </w:pPr>
      <w:bookmarkStart w:id="1" w:name="_Toc524684524"/>
      <w:r w:rsidRPr="00127180">
        <w:rPr>
          <w:rFonts w:ascii="Arial" w:eastAsia="Times New Roman" w:hAnsi="Arial" w:cs="Arial"/>
          <w:bCs/>
          <w:caps/>
          <w:color w:val="FFFFFF"/>
          <w:spacing w:val="15"/>
        </w:rPr>
        <w:t>Best Practice Message Highlights</w:t>
      </w:r>
      <w:bookmarkEnd w:id="1"/>
    </w:p>
    <w:p w:rsidR="001771AD" w:rsidRPr="001E3584" w:rsidRDefault="001771AD" w:rsidP="00843D9B">
      <w:pPr>
        <w:rPr>
          <w:b/>
          <w:color w:val="0070C0"/>
          <w:sz w:val="24"/>
          <w:szCs w:val="24"/>
        </w:rPr>
      </w:pPr>
    </w:p>
    <w:tbl>
      <w:tblPr>
        <w:tblStyle w:val="TableGrid"/>
        <w:tblW w:w="0" w:type="auto"/>
        <w:tblLook w:val="04A0" w:firstRow="1" w:lastRow="0" w:firstColumn="1" w:lastColumn="0" w:noHBand="0" w:noVBand="1"/>
      </w:tblPr>
      <w:tblGrid>
        <w:gridCol w:w="3085"/>
        <w:gridCol w:w="4394"/>
        <w:gridCol w:w="3203"/>
      </w:tblGrid>
      <w:tr w:rsidR="007D5F92" w:rsidTr="007E6262">
        <w:tc>
          <w:tcPr>
            <w:tcW w:w="3085" w:type="dxa"/>
          </w:tcPr>
          <w:p w:rsidR="007D5F92" w:rsidRPr="00843D9B" w:rsidRDefault="00975E18" w:rsidP="00032806">
            <w:pPr>
              <w:jc w:val="center"/>
              <w:rPr>
                <w:rFonts w:asciiTheme="majorHAnsi" w:hAnsiTheme="majorHAns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70C0"/>
                <w:u w:val="single"/>
              </w:rPr>
              <w:t>Message</w:t>
            </w:r>
          </w:p>
        </w:tc>
        <w:tc>
          <w:tcPr>
            <w:tcW w:w="4394" w:type="dxa"/>
          </w:tcPr>
          <w:p w:rsidR="007D5F92" w:rsidRDefault="00975E18" w:rsidP="00032806">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7180">
              <w:rPr>
                <w:b/>
                <w:color w:val="0070C0"/>
                <w:u w:val="single"/>
              </w:rPr>
              <w:t>Rationale</w:t>
            </w:r>
          </w:p>
        </w:tc>
        <w:tc>
          <w:tcPr>
            <w:tcW w:w="3203" w:type="dxa"/>
          </w:tcPr>
          <w:p w:rsidR="007D5F92" w:rsidRDefault="007E6262" w:rsidP="00032806">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7180">
              <w:rPr>
                <w:b/>
                <w:color w:val="0070C0"/>
                <w:u w:val="single"/>
              </w:rPr>
              <w:t xml:space="preserve">Recommended </w:t>
            </w:r>
            <w:r w:rsidR="00843D9B" w:rsidRPr="00127180">
              <w:rPr>
                <w:b/>
                <w:color w:val="0070C0"/>
                <w:u w:val="single"/>
              </w:rPr>
              <w:t>Action</w:t>
            </w:r>
          </w:p>
        </w:tc>
      </w:tr>
      <w:tr w:rsidR="007D5F92" w:rsidTr="007E6262">
        <w:tc>
          <w:tcPr>
            <w:tcW w:w="3085" w:type="dxa"/>
          </w:tcPr>
          <w:p w:rsidR="007D5F92" w:rsidRPr="00177390" w:rsidRDefault="00843D9B" w:rsidP="00032806">
            <w:pPr>
              <w:jc w:val="center"/>
              <w:rPr>
                <w:rFonts w:ascii="Arial" w:hAnsi="Arial" w:cs="Arial"/>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77390">
              <w:rPr>
                <w:rFonts w:ascii="Arial" w:eastAsia="Times New Roman" w:hAnsi="Arial" w:cs="Arial"/>
                <w:lang w:eastAsia="en-GB"/>
              </w:rPr>
              <w:t>Aspirin: not recommended for primary prevention of cardiovascular events in the absence of other valid indications</w:t>
            </w:r>
          </w:p>
        </w:tc>
        <w:tc>
          <w:tcPr>
            <w:tcW w:w="4394" w:type="dxa"/>
          </w:tcPr>
          <w:p w:rsidR="00843D9B" w:rsidRPr="00177390" w:rsidRDefault="00843D9B" w:rsidP="00843D9B">
            <w:pPr>
              <w:spacing w:before="100" w:beforeAutospacing="1" w:after="100" w:afterAutospacing="1"/>
              <w:rPr>
                <w:rFonts w:ascii="Arial" w:eastAsia="Times New Roman" w:hAnsi="Arial" w:cs="Arial"/>
                <w:lang w:eastAsia="en-GB"/>
              </w:rPr>
            </w:pPr>
            <w:r w:rsidRPr="00177390">
              <w:rPr>
                <w:rFonts w:ascii="Arial" w:hAnsi="Arial" w:cs="Arial"/>
              </w:rPr>
              <w:t xml:space="preserve">This message is only presented when the patient is over 16 years </w:t>
            </w:r>
            <w:r w:rsidRPr="00177390">
              <w:rPr>
                <w:rFonts w:ascii="Arial" w:eastAsia="Times New Roman" w:hAnsi="Arial" w:cs="Arial"/>
                <w:lang w:eastAsia="en-GB"/>
              </w:rPr>
              <w:t>not recorded as pregnant, prescribed antiplatelet aspirin (formulation strength less than or equal to 150mg) within 2 months, without a valid alternative indication: ischaemic heart disease, myocardial infarction, prosthetic heart valve, transient ischaemic attack, stroke, peripheral arterial disease (including retinal occlusions), carotid endarterectomy, polycythaemia rubra vera.</w:t>
            </w:r>
          </w:p>
          <w:p w:rsidR="007D5F92" w:rsidRPr="00177390" w:rsidRDefault="007D5F92" w:rsidP="007E6262">
            <w:pPr>
              <w:pStyle w:val="message-section-2"/>
              <w:rPr>
                <w:rFonts w:ascii="Arial" w:hAnsi="Arial" w:cs="Arial"/>
                <w:sz w:val="22"/>
                <w:szCs w:val="22"/>
              </w:rPr>
            </w:pPr>
          </w:p>
        </w:tc>
        <w:tc>
          <w:tcPr>
            <w:tcW w:w="3203" w:type="dxa"/>
          </w:tcPr>
          <w:p w:rsidR="00843D9B" w:rsidRPr="00177390" w:rsidRDefault="00843D9B" w:rsidP="00177390">
            <w:pPr>
              <w:jc w:val="center"/>
              <w:rPr>
                <w:rFonts w:ascii="Arial" w:eastAsia="Times New Roman" w:hAnsi="Arial" w:cs="Arial"/>
                <w:lang w:eastAsia="en-GB"/>
              </w:rPr>
            </w:pPr>
            <w:r w:rsidRPr="00177390">
              <w:rPr>
                <w:rFonts w:ascii="Arial" w:eastAsia="Times New Roman" w:hAnsi="Arial" w:cs="Arial"/>
                <w:lang w:eastAsia="en-GB"/>
              </w:rPr>
              <w:t xml:space="preserve">Aspirin is not licensed for primary prevention of cardiovascular disease.  If an appropriate Read code is added where the patient has an alternative indication, this message will not be offered.  </w:t>
            </w:r>
          </w:p>
          <w:p w:rsidR="007D5F92" w:rsidRPr="00177390" w:rsidRDefault="007D5F92" w:rsidP="00032806">
            <w:pPr>
              <w:jc w:val="center"/>
              <w:rPr>
                <w:rFonts w:ascii="Arial" w:hAnsi="Arial" w:cs="Arial"/>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9475D4" w:rsidTr="000C0510">
        <w:tc>
          <w:tcPr>
            <w:tcW w:w="3085" w:type="dxa"/>
          </w:tcPr>
          <w:p w:rsidR="009475D4" w:rsidRPr="00843D9B" w:rsidRDefault="009475D4" w:rsidP="000C0510">
            <w:pPr>
              <w:jc w:val="center"/>
              <w:rPr>
                <w:rFonts w:asciiTheme="majorHAnsi" w:hAnsiTheme="majorHAns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70C0"/>
                <w:u w:val="single"/>
              </w:rPr>
              <w:lastRenderedPageBreak/>
              <w:t>Message</w:t>
            </w:r>
          </w:p>
        </w:tc>
        <w:tc>
          <w:tcPr>
            <w:tcW w:w="4394" w:type="dxa"/>
          </w:tcPr>
          <w:p w:rsidR="009475D4" w:rsidRDefault="009475D4" w:rsidP="000C0510">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7180">
              <w:rPr>
                <w:b/>
                <w:color w:val="0070C0"/>
                <w:u w:val="single"/>
              </w:rPr>
              <w:t>Rationale</w:t>
            </w:r>
          </w:p>
        </w:tc>
        <w:tc>
          <w:tcPr>
            <w:tcW w:w="3203" w:type="dxa"/>
          </w:tcPr>
          <w:p w:rsidR="009475D4" w:rsidRDefault="009475D4" w:rsidP="000C0510">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7180">
              <w:rPr>
                <w:b/>
                <w:color w:val="0070C0"/>
                <w:u w:val="single"/>
              </w:rPr>
              <w:t>Recommended Action</w:t>
            </w:r>
          </w:p>
        </w:tc>
      </w:tr>
      <w:tr w:rsidR="008A4A6C" w:rsidTr="007E6262">
        <w:tc>
          <w:tcPr>
            <w:tcW w:w="3085" w:type="dxa"/>
          </w:tcPr>
          <w:p w:rsidR="008A4A6C" w:rsidRPr="00177390" w:rsidRDefault="008A4A6C" w:rsidP="00032806">
            <w:pPr>
              <w:jc w:val="center"/>
              <w:rPr>
                <w:rFonts w:ascii="Arial" w:eastAsia="Times New Roman" w:hAnsi="Arial" w:cs="Arial"/>
                <w:lang w:eastAsia="en-GB"/>
              </w:rPr>
            </w:pPr>
          </w:p>
        </w:tc>
        <w:tc>
          <w:tcPr>
            <w:tcW w:w="4394" w:type="dxa"/>
          </w:tcPr>
          <w:p w:rsidR="008A4A6C" w:rsidRPr="00177390" w:rsidRDefault="008A4A6C" w:rsidP="00843D9B">
            <w:pPr>
              <w:spacing w:before="100" w:beforeAutospacing="1" w:after="100" w:afterAutospacing="1"/>
              <w:rPr>
                <w:rFonts w:ascii="Arial" w:hAnsi="Arial" w:cs="Arial"/>
              </w:rPr>
            </w:pPr>
            <w:r w:rsidRPr="00177390">
              <w:rPr>
                <w:rFonts w:ascii="Arial" w:hAnsi="Arial" w:cs="Arial"/>
              </w:rPr>
              <w:t>NICE Clinical Knowledge Summaries (CKS) on Antiplatelet Treatment states that antiplatelet treatment should not be routinely prescribed for the primary prevention of cardiovascular disease. There is no evidence that clinical benefits (reduction in systemic emboli) outweigh the harms (increase in major haemorrhagic events). Aspirin is no longer recommended for prevention of stroke in patients with atrial fibrillation, as per NICE Guidance for the treatment of atrial fibrillation (CG180, June 2014).</w:t>
            </w:r>
          </w:p>
        </w:tc>
        <w:tc>
          <w:tcPr>
            <w:tcW w:w="3203" w:type="dxa"/>
          </w:tcPr>
          <w:p w:rsidR="008A4A6C" w:rsidRPr="00177390" w:rsidRDefault="008A4A6C" w:rsidP="00177390">
            <w:pPr>
              <w:jc w:val="center"/>
              <w:rPr>
                <w:rFonts w:ascii="Arial" w:eastAsia="Times New Roman" w:hAnsi="Arial" w:cs="Arial"/>
                <w:lang w:eastAsia="en-GB"/>
              </w:rPr>
            </w:pPr>
          </w:p>
        </w:tc>
      </w:tr>
      <w:tr w:rsidR="007D5F92" w:rsidTr="007E6262">
        <w:tc>
          <w:tcPr>
            <w:tcW w:w="3085" w:type="dxa"/>
          </w:tcPr>
          <w:p w:rsidR="007D5F92" w:rsidRPr="00177390" w:rsidRDefault="00843D9B" w:rsidP="00032806">
            <w:pPr>
              <w:jc w:val="center"/>
              <w:rPr>
                <w:rFonts w:ascii="Arial" w:hAnsi="Arial" w:cs="Arial"/>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77390">
              <w:rPr>
                <w:rFonts w:ascii="Arial" w:eastAsia="Times New Roman" w:hAnsi="Arial" w:cs="Arial"/>
                <w:lang w:eastAsia="en-GB"/>
              </w:rPr>
              <w:t>Oral mucolytic: not recommended to prevent exacerbations in COPD</w:t>
            </w:r>
          </w:p>
        </w:tc>
        <w:tc>
          <w:tcPr>
            <w:tcW w:w="4394" w:type="dxa"/>
          </w:tcPr>
          <w:p w:rsidR="00843D9B" w:rsidRPr="00177390" w:rsidRDefault="007E6262" w:rsidP="00843D9B">
            <w:pPr>
              <w:spacing w:before="100" w:beforeAutospacing="1" w:after="100" w:afterAutospacing="1"/>
              <w:rPr>
                <w:rFonts w:ascii="Arial" w:eastAsia="Times New Roman" w:hAnsi="Arial" w:cs="Arial"/>
                <w:lang w:eastAsia="en-GB"/>
              </w:rPr>
            </w:pPr>
            <w:r w:rsidRPr="00177390">
              <w:rPr>
                <w:rFonts w:ascii="Arial" w:eastAsia="Times New Roman" w:hAnsi="Arial" w:cs="Arial"/>
                <w:lang w:eastAsia="en-GB"/>
              </w:rPr>
              <w:t>T</w:t>
            </w:r>
            <w:r w:rsidR="00843D9B" w:rsidRPr="00177390">
              <w:rPr>
                <w:rFonts w:ascii="Arial" w:eastAsia="Times New Roman" w:hAnsi="Arial" w:cs="Arial"/>
                <w:lang w:eastAsia="en-GB"/>
              </w:rPr>
              <w:t xml:space="preserve">his message is presented for patients with COPD, who have been prescribed oral mucolytics. </w:t>
            </w:r>
          </w:p>
          <w:p w:rsidR="007D5F92" w:rsidRPr="00177390" w:rsidRDefault="007E6262" w:rsidP="007E6262">
            <w:pPr>
              <w:pStyle w:val="message-section-3"/>
              <w:rPr>
                <w:rFonts w:ascii="Arial" w:hAnsi="Arial" w:cs="Arial"/>
                <w:sz w:val="22"/>
                <w:szCs w:val="22"/>
              </w:rPr>
            </w:pPr>
            <w:r w:rsidRPr="00177390">
              <w:rPr>
                <w:rFonts w:ascii="Arial" w:hAnsi="Arial" w:cs="Arial"/>
                <w:sz w:val="22"/>
                <w:szCs w:val="22"/>
              </w:rPr>
              <w:t>The</w:t>
            </w:r>
            <w:r w:rsidR="00843D9B" w:rsidRPr="00177390">
              <w:rPr>
                <w:rFonts w:ascii="Arial" w:hAnsi="Arial" w:cs="Arial"/>
                <w:sz w:val="22"/>
                <w:szCs w:val="22"/>
              </w:rPr>
              <w:t xml:space="preserve"> message is triggered because the patient record has neither a chronic cough within 2 years, nor productive cough within the last 90 days.  </w:t>
            </w:r>
          </w:p>
        </w:tc>
        <w:tc>
          <w:tcPr>
            <w:tcW w:w="3203" w:type="dxa"/>
          </w:tcPr>
          <w:p w:rsidR="00843D9B" w:rsidRPr="00177390" w:rsidRDefault="00843D9B" w:rsidP="00177390">
            <w:pPr>
              <w:jc w:val="center"/>
              <w:rPr>
                <w:rFonts w:ascii="Arial" w:eastAsia="Times New Roman" w:hAnsi="Arial" w:cs="Arial"/>
                <w:lang w:eastAsia="en-GB"/>
              </w:rPr>
            </w:pPr>
            <w:r w:rsidRPr="00177390">
              <w:rPr>
                <w:rFonts w:ascii="Arial" w:eastAsia="Times New Roman" w:hAnsi="Arial" w:cs="Arial"/>
                <w:lang w:eastAsia="en-GB"/>
              </w:rPr>
              <w:t xml:space="preserve">Where appropriate a Read Code should be added to the patient record for chronic cough.  This will avoid the message being presented for patients inappropriately. </w:t>
            </w:r>
          </w:p>
          <w:p w:rsidR="007D5F92" w:rsidRPr="00177390" w:rsidRDefault="007D5F92" w:rsidP="00032806">
            <w:pPr>
              <w:jc w:val="center"/>
              <w:rPr>
                <w:rFonts w:ascii="Arial" w:hAnsi="Arial" w:cs="Arial"/>
                <w:b/>
                <w:color w:val="7030A0"/>
                <w:sz w:val="28"/>
                <w:szCs w:val="28"/>
                <w:u w:val="single"/>
                <w14:textOutline w14:w="5270" w14:cap="flat" w14:cmpd="sng" w14:algn="ctr">
                  <w14:solidFill>
                    <w14:schemeClr w14:val="accent1">
                      <w14:shade w14:val="88000"/>
                      <w14:satMod w14:val="110000"/>
                    </w14:schemeClr>
                  </w14:solidFill>
                  <w14:prstDash w14:val="solid"/>
                  <w14:round/>
                </w14:textOutline>
              </w:rPr>
            </w:pPr>
          </w:p>
        </w:tc>
      </w:tr>
      <w:tr w:rsidR="007D5F92" w:rsidTr="007E6262">
        <w:tc>
          <w:tcPr>
            <w:tcW w:w="3085" w:type="dxa"/>
          </w:tcPr>
          <w:p w:rsidR="007D5F92" w:rsidRPr="00177390" w:rsidRDefault="00843D9B" w:rsidP="00032806">
            <w:pPr>
              <w:jc w:val="center"/>
              <w:rPr>
                <w:rFonts w:ascii="Arial" w:hAnsi="Arial" w:cs="Arial"/>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77390">
              <w:rPr>
                <w:rFonts w:ascii="Arial" w:eastAsia="Times New Roman" w:hAnsi="Arial" w:cs="Arial"/>
                <w:lang w:eastAsia="en-GB"/>
              </w:rPr>
              <w:t>Mefenamic acid: not recommended first line for analgesia</w:t>
            </w:r>
          </w:p>
        </w:tc>
        <w:tc>
          <w:tcPr>
            <w:tcW w:w="4394" w:type="dxa"/>
          </w:tcPr>
          <w:p w:rsidR="00843D9B" w:rsidRPr="00177390" w:rsidRDefault="007E6262" w:rsidP="00843D9B">
            <w:pPr>
              <w:spacing w:before="100" w:beforeAutospacing="1" w:after="100" w:afterAutospacing="1"/>
              <w:rPr>
                <w:rFonts w:ascii="Arial" w:eastAsia="Times New Roman" w:hAnsi="Arial" w:cs="Arial"/>
                <w:lang w:eastAsia="en-GB"/>
              </w:rPr>
            </w:pPr>
            <w:r w:rsidRPr="00177390">
              <w:rPr>
                <w:rFonts w:ascii="Arial" w:eastAsia="Times New Roman" w:hAnsi="Arial" w:cs="Arial"/>
                <w:lang w:eastAsia="en-GB"/>
              </w:rPr>
              <w:t>T</w:t>
            </w:r>
            <w:r w:rsidR="00843D9B" w:rsidRPr="00177390">
              <w:rPr>
                <w:rFonts w:ascii="Arial" w:eastAsia="Times New Roman" w:hAnsi="Arial" w:cs="Arial"/>
                <w:lang w:eastAsia="en-GB"/>
              </w:rPr>
              <w:t>his message is presented for patients aged 10 years and over, prescribed mefenamic acid, not prescribed ibuprofen (excluding topical or parenteral routes) within the last 13 months, or not prescribed naproxen within the last 13 months if aged 15 years and over.</w:t>
            </w:r>
          </w:p>
          <w:p w:rsidR="007D5F92" w:rsidRPr="00177390" w:rsidRDefault="007D5F92" w:rsidP="00032806">
            <w:pPr>
              <w:jc w:val="center"/>
              <w:rPr>
                <w:rFonts w:ascii="Arial" w:hAnsi="Arial" w:cs="Arial"/>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203" w:type="dxa"/>
          </w:tcPr>
          <w:p w:rsidR="007D5F92" w:rsidRPr="00177390" w:rsidRDefault="00843D9B" w:rsidP="00177390">
            <w:pPr>
              <w:jc w:val="center"/>
              <w:rPr>
                <w:rFonts w:ascii="Arial" w:eastAsia="Times New Roman" w:hAnsi="Arial" w:cs="Arial"/>
                <w:b/>
                <w:color w:val="0070C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77390">
              <w:rPr>
                <w:rFonts w:ascii="Arial" w:eastAsia="Times New Roman" w:hAnsi="Arial" w:cs="Arial"/>
                <w:lang w:eastAsia="en-GB"/>
              </w:rPr>
              <w:t>The NHS Regional Drug and Therapeutics Centre bulletin (January 2014) states that mefenamic acid should not be a first-line choice for analgesia (including dysmenorrhoea), as there is no evidence that mefenamic acid is more effective than other NSAIDs.</w:t>
            </w:r>
          </w:p>
        </w:tc>
      </w:tr>
    </w:tbl>
    <w:p w:rsidR="00127180" w:rsidRPr="00127180" w:rsidRDefault="00127180" w:rsidP="00127180">
      <w:pPr>
        <w:pStyle w:val="Heading1"/>
        <w:pBdr>
          <w:top w:val="single" w:sz="24" w:space="0" w:color="0F6FC6"/>
          <w:left w:val="single" w:sz="24" w:space="0" w:color="0F6FC6"/>
          <w:bottom w:val="single" w:sz="24" w:space="0" w:color="0F6FC6"/>
          <w:right w:val="single" w:sz="24" w:space="0" w:color="0F6FC6"/>
        </w:pBdr>
        <w:shd w:val="clear" w:color="auto" w:fill="0F6FC6"/>
        <w:spacing w:before="200" w:after="0"/>
        <w:rPr>
          <w:rFonts w:ascii="Arial" w:eastAsia="Times New Roman" w:hAnsi="Arial" w:cs="Arial"/>
          <w:bCs/>
          <w:caps/>
          <w:color w:val="FFFFFF"/>
          <w:spacing w:val="15"/>
        </w:rPr>
      </w:pPr>
      <w:bookmarkStart w:id="2" w:name="_Toc524684525"/>
      <w:r w:rsidRPr="00127180">
        <w:rPr>
          <w:rFonts w:ascii="Arial" w:eastAsia="Times New Roman" w:hAnsi="Arial" w:cs="Arial"/>
          <w:bCs/>
          <w:caps/>
          <w:color w:val="FFFFFF"/>
          <w:spacing w:val="15"/>
        </w:rPr>
        <w:t>Best Practice Message – Graphs per locality</w:t>
      </w:r>
      <w:bookmarkEnd w:id="2"/>
    </w:p>
    <w:p w:rsidR="001E3584" w:rsidRPr="00177390" w:rsidRDefault="001E3584" w:rsidP="001E3584">
      <w:pPr>
        <w:spacing w:before="100" w:beforeAutospacing="1" w:after="100" w:afterAutospacing="1" w:line="240" w:lineRule="auto"/>
        <w:rPr>
          <w:rFonts w:ascii="Arial" w:eastAsia="Times New Roman" w:hAnsi="Arial" w:cs="Arial"/>
          <w:lang w:eastAsia="en-GB"/>
        </w:rPr>
      </w:pPr>
      <w:r w:rsidRPr="00177390">
        <w:rPr>
          <w:rFonts w:ascii="Arial" w:eastAsia="Times New Roman" w:hAnsi="Arial" w:cs="Arial"/>
          <w:lang w:eastAsia="en-GB"/>
        </w:rPr>
        <w:t xml:space="preserve">The graphs </w:t>
      </w:r>
      <w:r w:rsidR="00750292" w:rsidRPr="00177390">
        <w:rPr>
          <w:rFonts w:ascii="Arial" w:eastAsia="Times New Roman" w:hAnsi="Arial" w:cs="Arial"/>
          <w:lang w:eastAsia="en-GB"/>
        </w:rPr>
        <w:t>below</w:t>
      </w:r>
      <w:r w:rsidRPr="00177390">
        <w:rPr>
          <w:rFonts w:ascii="Arial" w:eastAsia="Times New Roman" w:hAnsi="Arial" w:cs="Arial"/>
          <w:lang w:eastAsia="en-GB"/>
        </w:rPr>
        <w:t xml:space="preserve"> show</w:t>
      </w:r>
      <w:r w:rsidR="00750292" w:rsidRPr="00177390">
        <w:rPr>
          <w:rFonts w:ascii="Arial" w:eastAsia="Times New Roman" w:hAnsi="Arial" w:cs="Arial"/>
          <w:lang w:eastAsia="en-GB"/>
        </w:rPr>
        <w:t xml:space="preserve"> the</w:t>
      </w:r>
      <w:r w:rsidRPr="00177390">
        <w:rPr>
          <w:rFonts w:ascii="Arial" w:eastAsia="Times New Roman" w:hAnsi="Arial" w:cs="Arial"/>
          <w:lang w:eastAsia="en-GB"/>
        </w:rPr>
        <w:t xml:space="preserve"> detail of each GP Practices hit count (number of messages offered) and acceptance rate for best practice messages over the last 3 months.  </w:t>
      </w:r>
      <w:r w:rsidR="006C264F" w:rsidRPr="00177390">
        <w:rPr>
          <w:rFonts w:ascii="Arial" w:eastAsia="Times New Roman" w:hAnsi="Arial" w:cs="Arial"/>
          <w:lang w:eastAsia="en-GB"/>
        </w:rPr>
        <w:t>Increasing your acceptance will improve</w:t>
      </w:r>
      <w:r w:rsidR="007A7805" w:rsidRPr="00177390">
        <w:rPr>
          <w:rFonts w:ascii="Arial" w:eastAsia="Times New Roman" w:hAnsi="Arial" w:cs="Arial"/>
          <w:lang w:eastAsia="en-GB"/>
        </w:rPr>
        <w:t xml:space="preserve"> quality prescribing and optimise cost efficiencies.  </w:t>
      </w:r>
    </w:p>
    <w:p w:rsidR="001E3584" w:rsidRDefault="001E3584" w:rsidP="00032806">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GB"/>
        </w:rPr>
        <w:drawing>
          <wp:inline distT="0" distB="0" distL="0" distR="0" wp14:anchorId="7959A5FA" wp14:editId="7F414F4B">
            <wp:extent cx="4140403" cy="19496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42268" cy="1950519"/>
                    </a:xfrm>
                    <a:prstGeom prst="rect">
                      <a:avLst/>
                    </a:prstGeom>
                  </pic:spPr>
                </pic:pic>
              </a:graphicData>
            </a:graphic>
          </wp:inline>
        </w:drawing>
      </w:r>
    </w:p>
    <w:p w:rsidR="007D5F92" w:rsidRPr="00DF694E" w:rsidRDefault="001E3584" w:rsidP="00032806">
      <w:pPr>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n-GB"/>
        </w:rPr>
        <w:lastRenderedPageBreak/>
        <w:drawing>
          <wp:inline distT="0" distB="0" distL="0" distR="0" wp14:anchorId="078BEA9C" wp14:editId="1DB4079D">
            <wp:extent cx="4169664" cy="2084832"/>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2095" cy="2086048"/>
                    </a:xfrm>
                    <a:prstGeom prst="rect">
                      <a:avLst/>
                    </a:prstGeom>
                  </pic:spPr>
                </pic:pic>
              </a:graphicData>
            </a:graphic>
          </wp:inline>
        </w:drawing>
      </w:r>
    </w:p>
    <w:p w:rsidR="00A7525B" w:rsidRDefault="00A7525B" w:rsidP="00E1294D">
      <w:pPr>
        <w:spacing w:before="100" w:beforeAutospacing="1" w:after="100" w:afterAutospacing="1" w:line="240" w:lineRule="auto"/>
        <w:rPr>
          <w:rFonts w:eastAsia="Times New Roman" w:cs="Arial"/>
          <w:lang w:eastAsia="en-GB"/>
        </w:rPr>
      </w:pPr>
    </w:p>
    <w:p w:rsidR="00A7525B" w:rsidRDefault="001E3584" w:rsidP="001E3584">
      <w:pPr>
        <w:spacing w:before="100" w:beforeAutospacing="1" w:after="100" w:afterAutospacing="1" w:line="240" w:lineRule="auto"/>
        <w:jc w:val="center"/>
        <w:rPr>
          <w:rFonts w:eastAsia="Times New Roman" w:cs="Arial"/>
          <w:lang w:eastAsia="en-GB"/>
        </w:rPr>
      </w:pPr>
      <w:r>
        <w:rPr>
          <w:noProof/>
          <w:lang w:eastAsia="en-GB"/>
        </w:rPr>
        <w:drawing>
          <wp:inline distT="0" distB="0" distL="0" distR="0" wp14:anchorId="1E94DA91" wp14:editId="4F91BFEC">
            <wp:extent cx="4118458" cy="2110284"/>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28226" cy="2115289"/>
                    </a:xfrm>
                    <a:prstGeom prst="rect">
                      <a:avLst/>
                    </a:prstGeom>
                  </pic:spPr>
                </pic:pic>
              </a:graphicData>
            </a:graphic>
          </wp:inline>
        </w:drawing>
      </w:r>
    </w:p>
    <w:p w:rsidR="00A7525B" w:rsidRDefault="001E3584" w:rsidP="001E3584">
      <w:pPr>
        <w:spacing w:before="100" w:beforeAutospacing="1" w:after="100" w:afterAutospacing="1" w:line="240" w:lineRule="auto"/>
        <w:jc w:val="center"/>
        <w:rPr>
          <w:rFonts w:eastAsia="Times New Roman" w:cs="Arial"/>
          <w:lang w:eastAsia="en-GB"/>
        </w:rPr>
      </w:pPr>
      <w:r>
        <w:rPr>
          <w:noProof/>
          <w:lang w:eastAsia="en-GB"/>
        </w:rPr>
        <w:drawing>
          <wp:inline distT="0" distB="0" distL="0" distR="0" wp14:anchorId="257C9302" wp14:editId="37207823">
            <wp:extent cx="4213555" cy="2222073"/>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559" cy="2225239"/>
                    </a:xfrm>
                    <a:prstGeom prst="rect">
                      <a:avLst/>
                    </a:prstGeom>
                  </pic:spPr>
                </pic:pic>
              </a:graphicData>
            </a:graphic>
          </wp:inline>
        </w:drawing>
      </w:r>
    </w:p>
    <w:p w:rsidR="00127180" w:rsidRPr="00127180" w:rsidRDefault="00127180" w:rsidP="00127180">
      <w:pPr>
        <w:pStyle w:val="Heading1"/>
        <w:pBdr>
          <w:top w:val="single" w:sz="24" w:space="0" w:color="0F6FC6"/>
          <w:left w:val="single" w:sz="24" w:space="0" w:color="0F6FC6"/>
          <w:bottom w:val="single" w:sz="24" w:space="0" w:color="0F6FC6"/>
          <w:right w:val="single" w:sz="24" w:space="0" w:color="0F6FC6"/>
        </w:pBdr>
        <w:shd w:val="clear" w:color="auto" w:fill="0F6FC6"/>
        <w:spacing w:before="200" w:after="0"/>
        <w:rPr>
          <w:rFonts w:ascii="Arial" w:eastAsia="Times New Roman" w:hAnsi="Arial" w:cs="Arial"/>
          <w:bCs/>
          <w:caps/>
          <w:color w:val="FFFFFF"/>
          <w:spacing w:val="15"/>
        </w:rPr>
      </w:pPr>
      <w:bookmarkStart w:id="3" w:name="_Toc524684526"/>
      <w:r w:rsidRPr="00127180">
        <w:rPr>
          <w:rFonts w:ascii="Arial" w:eastAsia="Times New Roman" w:hAnsi="Arial" w:cs="Arial"/>
          <w:bCs/>
          <w:caps/>
          <w:color w:val="FFFFFF"/>
          <w:spacing w:val="15"/>
        </w:rPr>
        <w:t>Cost Message Highlights</w:t>
      </w:r>
      <w:bookmarkEnd w:id="3"/>
    </w:p>
    <w:p w:rsidR="005D3331" w:rsidRDefault="00975E18" w:rsidP="00E1294D">
      <w:pPr>
        <w:spacing w:before="100" w:beforeAutospacing="1" w:after="100" w:afterAutospacing="1" w:line="240" w:lineRule="auto"/>
        <w:rPr>
          <w:rFonts w:ascii="Arial" w:eastAsia="Times New Roman" w:hAnsi="Arial" w:cs="Arial"/>
          <w:b/>
          <w:lang w:eastAsia="en-GB"/>
        </w:rPr>
      </w:pPr>
      <w:r w:rsidRPr="00177390">
        <w:rPr>
          <w:rFonts w:ascii="Arial" w:hAnsi="Arial" w:cs="Arial"/>
        </w:rPr>
        <w:t xml:space="preserve">Optimise Rx has made £107,895 in actual savings from April 2018 to August 2018.  </w:t>
      </w:r>
      <w:r w:rsidR="00032806" w:rsidRPr="00177390">
        <w:rPr>
          <w:rFonts w:ascii="Arial" w:eastAsia="Times New Roman" w:hAnsi="Arial" w:cs="Arial"/>
          <w:lang w:eastAsia="en-GB"/>
        </w:rPr>
        <w:t>T</w:t>
      </w:r>
      <w:r w:rsidR="006F5847" w:rsidRPr="00177390">
        <w:rPr>
          <w:rFonts w:ascii="Arial" w:eastAsia="Times New Roman" w:hAnsi="Arial" w:cs="Arial"/>
          <w:lang w:eastAsia="en-GB"/>
        </w:rPr>
        <w:t>he chart below shows details of cost saving messages where, if accepted, significant savings could have been made</w:t>
      </w:r>
      <w:r w:rsidR="005D3331" w:rsidRPr="00177390">
        <w:rPr>
          <w:rFonts w:ascii="Arial" w:eastAsia="Times New Roman" w:hAnsi="Arial" w:cs="Arial"/>
          <w:lang w:eastAsia="en-GB"/>
        </w:rPr>
        <w:t>.  The total of the missed savings</w:t>
      </w:r>
      <w:r w:rsidR="00200EB3" w:rsidRPr="00177390">
        <w:rPr>
          <w:rFonts w:ascii="Arial" w:eastAsia="Times New Roman" w:hAnsi="Arial" w:cs="Arial"/>
          <w:lang w:eastAsia="en-GB"/>
        </w:rPr>
        <w:t xml:space="preserve"> for Quarter 1 18/19</w:t>
      </w:r>
      <w:r w:rsidR="005D3331" w:rsidRPr="00177390">
        <w:rPr>
          <w:rFonts w:ascii="Arial" w:eastAsia="Times New Roman" w:hAnsi="Arial" w:cs="Arial"/>
          <w:lang w:eastAsia="en-GB"/>
        </w:rPr>
        <w:t xml:space="preserve"> </w:t>
      </w:r>
      <w:r w:rsidR="006F5847" w:rsidRPr="00177390">
        <w:rPr>
          <w:rFonts w:ascii="Arial" w:eastAsia="Times New Roman" w:hAnsi="Arial" w:cs="Arial"/>
          <w:lang w:eastAsia="en-GB"/>
        </w:rPr>
        <w:t>in</w:t>
      </w:r>
      <w:r w:rsidR="005D3331" w:rsidRPr="00177390">
        <w:rPr>
          <w:rFonts w:ascii="Arial" w:eastAsia="Times New Roman" w:hAnsi="Arial" w:cs="Arial"/>
          <w:lang w:eastAsia="en-GB"/>
        </w:rPr>
        <w:t xml:space="preserve"> these 5 messages alon</w:t>
      </w:r>
      <w:r w:rsidR="00200EB3" w:rsidRPr="00177390">
        <w:rPr>
          <w:rFonts w:ascii="Arial" w:eastAsia="Times New Roman" w:hAnsi="Arial" w:cs="Arial"/>
          <w:lang w:eastAsia="en-GB"/>
        </w:rPr>
        <w:t>e</w:t>
      </w:r>
      <w:r w:rsidR="005D3331" w:rsidRPr="00177390">
        <w:rPr>
          <w:rFonts w:ascii="Arial" w:eastAsia="Times New Roman" w:hAnsi="Arial" w:cs="Arial"/>
          <w:lang w:eastAsia="en-GB"/>
        </w:rPr>
        <w:t xml:space="preserve"> is </w:t>
      </w:r>
      <w:r w:rsidR="006F5847" w:rsidRPr="00177390">
        <w:rPr>
          <w:rFonts w:ascii="Arial" w:eastAsia="Times New Roman" w:hAnsi="Arial" w:cs="Arial"/>
          <w:b/>
          <w:lang w:eastAsia="en-GB"/>
        </w:rPr>
        <w:t>£27</w:t>
      </w:r>
      <w:r w:rsidR="007907B7" w:rsidRPr="00177390">
        <w:rPr>
          <w:rFonts w:ascii="Arial" w:eastAsia="Times New Roman" w:hAnsi="Arial" w:cs="Arial"/>
          <w:b/>
          <w:lang w:eastAsia="en-GB"/>
        </w:rPr>
        <w:t>,</w:t>
      </w:r>
      <w:r w:rsidR="006F5847" w:rsidRPr="00177390">
        <w:rPr>
          <w:rFonts w:ascii="Arial" w:eastAsia="Times New Roman" w:hAnsi="Arial" w:cs="Arial"/>
          <w:b/>
          <w:lang w:eastAsia="en-GB"/>
        </w:rPr>
        <w:t>739</w:t>
      </w:r>
    </w:p>
    <w:p w:rsidR="009475D4" w:rsidRPr="00177390" w:rsidRDefault="009475D4" w:rsidP="00E1294D">
      <w:pPr>
        <w:spacing w:before="100" w:beforeAutospacing="1" w:after="100" w:afterAutospacing="1" w:line="240" w:lineRule="auto"/>
        <w:rPr>
          <w:rFonts w:ascii="Arial" w:eastAsia="Times New Roman" w:hAnsi="Arial" w:cs="Arial"/>
          <w:lang w:eastAsia="en-GB"/>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6DBE8" w:fill="F2F2F2" w:themeFill="background1" w:themeFillShade="F2"/>
        <w:tblLayout w:type="fixed"/>
        <w:tblLook w:val="04A0" w:firstRow="1" w:lastRow="0" w:firstColumn="1" w:lastColumn="0" w:noHBand="0" w:noVBand="1"/>
      </w:tblPr>
      <w:tblGrid>
        <w:gridCol w:w="7103"/>
        <w:gridCol w:w="1276"/>
        <w:gridCol w:w="1275"/>
        <w:gridCol w:w="993"/>
      </w:tblGrid>
      <w:tr w:rsidR="005D3331" w:rsidRPr="005D3331" w:rsidTr="00750292">
        <w:trPr>
          <w:trHeight w:val="300"/>
        </w:trPr>
        <w:tc>
          <w:tcPr>
            <w:tcW w:w="7103" w:type="dxa"/>
            <w:shd w:val="clear" w:color="D6DBE8" w:fill="F2F2F2" w:themeFill="background1" w:themeFillShade="F2"/>
            <w:vAlign w:val="center"/>
          </w:tcPr>
          <w:p w:rsidR="00923D0D" w:rsidRPr="005D3331" w:rsidRDefault="00923D0D" w:rsidP="00127180">
            <w:pPr>
              <w:rPr>
                <w:lang w:eastAsia="en-GB"/>
              </w:rPr>
            </w:pPr>
          </w:p>
        </w:tc>
        <w:tc>
          <w:tcPr>
            <w:tcW w:w="1276" w:type="dxa"/>
            <w:shd w:val="clear" w:color="D6DBE8" w:fill="F2F2F2" w:themeFill="background1" w:themeFillShade="F2"/>
            <w:vAlign w:val="center"/>
          </w:tcPr>
          <w:p w:rsidR="00923D0D" w:rsidRPr="005D3331" w:rsidRDefault="00923D0D" w:rsidP="00127180">
            <w:pPr>
              <w:rPr>
                <w:lang w:eastAsia="en-GB"/>
              </w:rPr>
            </w:pPr>
            <w:r w:rsidRPr="005D3331">
              <w:rPr>
                <w:lang w:eastAsia="en-GB"/>
              </w:rPr>
              <w:t xml:space="preserve">Hit count </w:t>
            </w:r>
            <w:r w:rsidRPr="00032806">
              <w:rPr>
                <w:sz w:val="18"/>
                <w:szCs w:val="18"/>
                <w:lang w:eastAsia="en-GB"/>
              </w:rPr>
              <w:t>(number of times the message was offered)</w:t>
            </w:r>
          </w:p>
        </w:tc>
        <w:tc>
          <w:tcPr>
            <w:tcW w:w="1275" w:type="dxa"/>
            <w:shd w:val="clear" w:color="D6DBE8" w:fill="F2F2F2" w:themeFill="background1" w:themeFillShade="F2"/>
            <w:vAlign w:val="center"/>
          </w:tcPr>
          <w:p w:rsidR="00923D0D" w:rsidRPr="005D3331" w:rsidRDefault="00923D0D" w:rsidP="00127180">
            <w:pPr>
              <w:rPr>
                <w:lang w:eastAsia="en-GB"/>
              </w:rPr>
            </w:pPr>
            <w:r w:rsidRPr="005D3331">
              <w:rPr>
                <w:lang w:eastAsia="en-GB"/>
              </w:rPr>
              <w:t xml:space="preserve">Reject </w:t>
            </w:r>
            <w:r w:rsidRPr="00032806">
              <w:rPr>
                <w:sz w:val="18"/>
                <w:szCs w:val="18"/>
                <w:lang w:eastAsia="en-GB"/>
              </w:rPr>
              <w:t>(number of times message was rejected)</w:t>
            </w:r>
          </w:p>
        </w:tc>
        <w:tc>
          <w:tcPr>
            <w:tcW w:w="993" w:type="dxa"/>
            <w:shd w:val="clear" w:color="D6DBE8" w:fill="F2F2F2" w:themeFill="background1" w:themeFillShade="F2"/>
          </w:tcPr>
          <w:p w:rsidR="00923D0D" w:rsidRPr="00A63E17" w:rsidRDefault="00A63E17" w:rsidP="00127180">
            <w:pPr>
              <w:rPr>
                <w:b/>
                <w:sz w:val="20"/>
                <w:szCs w:val="20"/>
                <w:lang w:eastAsia="en-GB"/>
              </w:rPr>
            </w:pPr>
            <w:r>
              <w:rPr>
                <w:b/>
                <w:sz w:val="20"/>
                <w:szCs w:val="20"/>
                <w:lang w:eastAsia="en-GB"/>
              </w:rPr>
              <w:t xml:space="preserve">Potential </w:t>
            </w:r>
            <w:r w:rsidR="00923D0D" w:rsidRPr="00A63E17">
              <w:rPr>
                <w:b/>
                <w:sz w:val="20"/>
                <w:szCs w:val="20"/>
                <w:lang w:eastAsia="en-GB"/>
              </w:rPr>
              <w:t>Savings Missed</w:t>
            </w:r>
            <w:r w:rsidR="001E2FCC">
              <w:rPr>
                <w:b/>
                <w:sz w:val="20"/>
                <w:szCs w:val="20"/>
                <w:lang w:eastAsia="en-GB"/>
              </w:rPr>
              <w:t xml:space="preserve"> </w:t>
            </w:r>
          </w:p>
        </w:tc>
      </w:tr>
      <w:tr w:rsidR="005D3331" w:rsidRPr="005D3331" w:rsidTr="00750292">
        <w:trPr>
          <w:trHeight w:val="300"/>
        </w:trPr>
        <w:tc>
          <w:tcPr>
            <w:tcW w:w="7103" w:type="dxa"/>
            <w:shd w:val="clear" w:color="D6DBE8" w:fill="F2F2F2" w:themeFill="background1" w:themeFillShade="F2"/>
            <w:vAlign w:val="center"/>
          </w:tcPr>
          <w:p w:rsidR="00923D0D" w:rsidRPr="005D3331" w:rsidRDefault="00D01D99" w:rsidP="00127180">
            <w:pPr>
              <w:rPr>
                <w:lang w:eastAsia="en-GB"/>
              </w:rPr>
            </w:pPr>
            <w:r w:rsidRPr="00D01D99">
              <w:rPr>
                <w:lang w:eastAsia="en-GB"/>
              </w:rPr>
              <w:t>Tiotropium 18microgram (10microgram delivered) inhalation powder capsules (with device and refill pack; brands, generic): consider swapping to Braltus (tiotropium) 10microgram inhalation powder capsules with device</w:t>
            </w:r>
          </w:p>
        </w:tc>
        <w:tc>
          <w:tcPr>
            <w:tcW w:w="1276" w:type="dxa"/>
            <w:shd w:val="clear" w:color="D6DBE8" w:fill="F2F2F2" w:themeFill="background1" w:themeFillShade="F2"/>
            <w:vAlign w:val="center"/>
          </w:tcPr>
          <w:p w:rsidR="00923D0D" w:rsidRPr="005D3331" w:rsidRDefault="00D01D99" w:rsidP="00127180">
            <w:pPr>
              <w:rPr>
                <w:lang w:eastAsia="en-GB"/>
              </w:rPr>
            </w:pPr>
            <w:r>
              <w:rPr>
                <w:lang w:eastAsia="en-GB"/>
              </w:rPr>
              <w:t>427</w:t>
            </w:r>
          </w:p>
        </w:tc>
        <w:tc>
          <w:tcPr>
            <w:tcW w:w="1275" w:type="dxa"/>
            <w:shd w:val="clear" w:color="D6DBE8" w:fill="F2F2F2" w:themeFill="background1" w:themeFillShade="F2"/>
            <w:vAlign w:val="center"/>
          </w:tcPr>
          <w:p w:rsidR="00923D0D" w:rsidRPr="005D3331" w:rsidRDefault="00D01D99" w:rsidP="00127180">
            <w:pPr>
              <w:rPr>
                <w:lang w:eastAsia="en-GB"/>
              </w:rPr>
            </w:pPr>
            <w:r>
              <w:rPr>
                <w:lang w:eastAsia="en-GB"/>
              </w:rPr>
              <w:t>392</w:t>
            </w:r>
          </w:p>
        </w:tc>
        <w:tc>
          <w:tcPr>
            <w:tcW w:w="993" w:type="dxa"/>
            <w:shd w:val="clear" w:color="D6DBE8" w:fill="F2F2F2" w:themeFill="background1" w:themeFillShade="F2"/>
          </w:tcPr>
          <w:p w:rsidR="00923D0D" w:rsidRPr="00D01D99" w:rsidRDefault="00D01D99" w:rsidP="00127180">
            <w:pPr>
              <w:rPr>
                <w:b/>
                <w:lang w:eastAsia="en-GB"/>
              </w:rPr>
            </w:pPr>
            <w:r w:rsidRPr="00D01D99">
              <w:rPr>
                <w:b/>
                <w:lang w:eastAsia="en-GB"/>
              </w:rPr>
              <w:t>£9279</w:t>
            </w:r>
          </w:p>
        </w:tc>
      </w:tr>
      <w:tr w:rsidR="005D3331" w:rsidRPr="005D3331" w:rsidTr="00750292">
        <w:trPr>
          <w:trHeight w:val="300"/>
        </w:trPr>
        <w:tc>
          <w:tcPr>
            <w:tcW w:w="7103" w:type="dxa"/>
            <w:shd w:val="clear" w:color="D6DBE8" w:fill="F2F2F2" w:themeFill="background1" w:themeFillShade="F2"/>
            <w:vAlign w:val="center"/>
          </w:tcPr>
          <w:p w:rsidR="00923D0D" w:rsidRPr="005D3331" w:rsidRDefault="00D01D99" w:rsidP="00127180">
            <w:pPr>
              <w:rPr>
                <w:lang w:eastAsia="en-GB"/>
              </w:rPr>
            </w:pPr>
            <w:r w:rsidRPr="00D01D99">
              <w:rPr>
                <w:lang w:eastAsia="en-GB"/>
              </w:rPr>
              <w:t>Felodipine 24-hour modified-release tablets (brands, generics): consider swapping to amlodipine tablets</w:t>
            </w:r>
          </w:p>
        </w:tc>
        <w:tc>
          <w:tcPr>
            <w:tcW w:w="1276" w:type="dxa"/>
            <w:shd w:val="clear" w:color="D6DBE8" w:fill="F2F2F2" w:themeFill="background1" w:themeFillShade="F2"/>
            <w:vAlign w:val="center"/>
          </w:tcPr>
          <w:p w:rsidR="00923D0D" w:rsidRPr="005D3331" w:rsidRDefault="00D01D99" w:rsidP="00127180">
            <w:pPr>
              <w:rPr>
                <w:lang w:eastAsia="en-GB"/>
              </w:rPr>
            </w:pPr>
            <w:r>
              <w:rPr>
                <w:lang w:eastAsia="en-GB"/>
              </w:rPr>
              <w:t>706</w:t>
            </w:r>
          </w:p>
        </w:tc>
        <w:tc>
          <w:tcPr>
            <w:tcW w:w="1275" w:type="dxa"/>
            <w:shd w:val="clear" w:color="D6DBE8" w:fill="F2F2F2" w:themeFill="background1" w:themeFillShade="F2"/>
            <w:vAlign w:val="center"/>
          </w:tcPr>
          <w:p w:rsidR="00923D0D" w:rsidRPr="005D3331" w:rsidRDefault="00D01D99" w:rsidP="00127180">
            <w:pPr>
              <w:rPr>
                <w:lang w:eastAsia="en-GB"/>
              </w:rPr>
            </w:pPr>
            <w:r>
              <w:rPr>
                <w:lang w:eastAsia="en-GB"/>
              </w:rPr>
              <w:t>461</w:t>
            </w:r>
          </w:p>
        </w:tc>
        <w:tc>
          <w:tcPr>
            <w:tcW w:w="993" w:type="dxa"/>
            <w:shd w:val="clear" w:color="D6DBE8" w:fill="F2F2F2" w:themeFill="background1" w:themeFillShade="F2"/>
          </w:tcPr>
          <w:p w:rsidR="00923D0D" w:rsidRPr="00D01D99" w:rsidRDefault="00D01D99" w:rsidP="00127180">
            <w:pPr>
              <w:rPr>
                <w:b/>
                <w:lang w:eastAsia="en-GB"/>
              </w:rPr>
            </w:pPr>
            <w:r w:rsidRPr="00D01D99">
              <w:rPr>
                <w:b/>
                <w:lang w:eastAsia="en-GB"/>
              </w:rPr>
              <w:t>£8027</w:t>
            </w:r>
          </w:p>
        </w:tc>
      </w:tr>
      <w:tr w:rsidR="005D3331" w:rsidRPr="005D3331" w:rsidTr="00750292">
        <w:trPr>
          <w:trHeight w:val="300"/>
        </w:trPr>
        <w:tc>
          <w:tcPr>
            <w:tcW w:w="7103" w:type="dxa"/>
            <w:shd w:val="clear" w:color="D6DBE8" w:fill="F2F2F2" w:themeFill="background1" w:themeFillShade="F2"/>
            <w:vAlign w:val="center"/>
          </w:tcPr>
          <w:p w:rsidR="00923D0D" w:rsidRPr="005D3331" w:rsidRDefault="00D01D99" w:rsidP="00127180">
            <w:pPr>
              <w:rPr>
                <w:lang w:eastAsia="en-GB"/>
              </w:rPr>
            </w:pPr>
            <w:r w:rsidRPr="00D01D99">
              <w:rPr>
                <w:lang w:eastAsia="en-GB"/>
              </w:rPr>
              <w:t>Pregabalin 75mg capsules (brands only): consider swapping to generic pregabalin 75mg capsules</w:t>
            </w:r>
          </w:p>
        </w:tc>
        <w:tc>
          <w:tcPr>
            <w:tcW w:w="1276" w:type="dxa"/>
            <w:shd w:val="clear" w:color="D6DBE8" w:fill="F2F2F2" w:themeFill="background1" w:themeFillShade="F2"/>
            <w:vAlign w:val="center"/>
          </w:tcPr>
          <w:p w:rsidR="00923D0D" w:rsidRPr="005D3331" w:rsidRDefault="00D01D99" w:rsidP="00127180">
            <w:pPr>
              <w:rPr>
                <w:lang w:eastAsia="en-GB"/>
              </w:rPr>
            </w:pPr>
            <w:r>
              <w:rPr>
                <w:lang w:eastAsia="en-GB"/>
              </w:rPr>
              <w:t>22</w:t>
            </w:r>
          </w:p>
        </w:tc>
        <w:tc>
          <w:tcPr>
            <w:tcW w:w="1275" w:type="dxa"/>
            <w:shd w:val="clear" w:color="D6DBE8" w:fill="F2F2F2" w:themeFill="background1" w:themeFillShade="F2"/>
            <w:vAlign w:val="center"/>
          </w:tcPr>
          <w:p w:rsidR="00923D0D" w:rsidRPr="005D3331" w:rsidRDefault="00D01D99" w:rsidP="00127180">
            <w:pPr>
              <w:rPr>
                <w:lang w:eastAsia="en-GB"/>
              </w:rPr>
            </w:pPr>
            <w:r>
              <w:rPr>
                <w:lang w:eastAsia="en-GB"/>
              </w:rPr>
              <w:t>19</w:t>
            </w:r>
          </w:p>
        </w:tc>
        <w:tc>
          <w:tcPr>
            <w:tcW w:w="993" w:type="dxa"/>
            <w:shd w:val="clear" w:color="D6DBE8" w:fill="F2F2F2" w:themeFill="background1" w:themeFillShade="F2"/>
          </w:tcPr>
          <w:p w:rsidR="00923D0D" w:rsidRPr="00D01D99" w:rsidRDefault="00D01D99" w:rsidP="00127180">
            <w:pPr>
              <w:rPr>
                <w:b/>
                <w:lang w:eastAsia="en-GB"/>
              </w:rPr>
            </w:pPr>
            <w:r w:rsidRPr="00D01D99">
              <w:rPr>
                <w:b/>
                <w:lang w:eastAsia="en-GB"/>
              </w:rPr>
              <w:t>£3754</w:t>
            </w:r>
          </w:p>
        </w:tc>
      </w:tr>
      <w:tr w:rsidR="005D3331" w:rsidRPr="005D3331" w:rsidTr="00750292">
        <w:trPr>
          <w:trHeight w:val="300"/>
        </w:trPr>
        <w:tc>
          <w:tcPr>
            <w:tcW w:w="7103" w:type="dxa"/>
            <w:shd w:val="clear" w:color="D6DBE8" w:fill="F2F2F2" w:themeFill="background1" w:themeFillShade="F2"/>
            <w:vAlign w:val="center"/>
          </w:tcPr>
          <w:p w:rsidR="00923D0D" w:rsidRPr="005D3331" w:rsidRDefault="00D01D99" w:rsidP="00127180">
            <w:pPr>
              <w:rPr>
                <w:lang w:eastAsia="en-GB"/>
              </w:rPr>
            </w:pPr>
            <w:r w:rsidRPr="00D01D99">
              <w:rPr>
                <w:lang w:eastAsia="en-GB"/>
              </w:rPr>
              <w:t>Dutasteride 500microgram capsules: consider swapping to finasteride 5mg tablets</w:t>
            </w:r>
          </w:p>
        </w:tc>
        <w:tc>
          <w:tcPr>
            <w:tcW w:w="1276" w:type="dxa"/>
            <w:shd w:val="clear" w:color="D6DBE8" w:fill="F2F2F2" w:themeFill="background1" w:themeFillShade="F2"/>
            <w:vAlign w:val="center"/>
          </w:tcPr>
          <w:p w:rsidR="00923D0D" w:rsidRPr="005D3331" w:rsidRDefault="00D01D99" w:rsidP="00127180">
            <w:pPr>
              <w:rPr>
                <w:lang w:eastAsia="en-GB"/>
              </w:rPr>
            </w:pPr>
            <w:r>
              <w:rPr>
                <w:lang w:eastAsia="en-GB"/>
              </w:rPr>
              <w:t>128</w:t>
            </w:r>
          </w:p>
        </w:tc>
        <w:tc>
          <w:tcPr>
            <w:tcW w:w="1275" w:type="dxa"/>
            <w:shd w:val="clear" w:color="D6DBE8" w:fill="F2F2F2" w:themeFill="background1" w:themeFillShade="F2"/>
            <w:vAlign w:val="center"/>
          </w:tcPr>
          <w:p w:rsidR="00923D0D" w:rsidRPr="005D3331" w:rsidRDefault="00D01D99" w:rsidP="00127180">
            <w:pPr>
              <w:rPr>
                <w:lang w:eastAsia="en-GB"/>
              </w:rPr>
            </w:pPr>
            <w:r>
              <w:rPr>
                <w:lang w:eastAsia="en-GB"/>
              </w:rPr>
              <w:t>103</w:t>
            </w:r>
          </w:p>
        </w:tc>
        <w:tc>
          <w:tcPr>
            <w:tcW w:w="993" w:type="dxa"/>
            <w:shd w:val="clear" w:color="D6DBE8" w:fill="F2F2F2" w:themeFill="background1" w:themeFillShade="F2"/>
          </w:tcPr>
          <w:p w:rsidR="00923D0D" w:rsidRPr="00A63E17" w:rsidRDefault="00D01D99" w:rsidP="00127180">
            <w:pPr>
              <w:rPr>
                <w:b/>
                <w:lang w:eastAsia="en-GB"/>
              </w:rPr>
            </w:pPr>
            <w:r>
              <w:rPr>
                <w:b/>
                <w:lang w:eastAsia="en-GB"/>
              </w:rPr>
              <w:t>£3428</w:t>
            </w:r>
          </w:p>
        </w:tc>
      </w:tr>
      <w:tr w:rsidR="005D3331" w:rsidRPr="005D3331" w:rsidTr="00750292">
        <w:trPr>
          <w:trHeight w:val="300"/>
        </w:trPr>
        <w:tc>
          <w:tcPr>
            <w:tcW w:w="7103" w:type="dxa"/>
            <w:shd w:val="clear" w:color="D6DBE8" w:fill="F2F2F2" w:themeFill="background1" w:themeFillShade="F2"/>
            <w:vAlign w:val="center"/>
          </w:tcPr>
          <w:p w:rsidR="00923D0D" w:rsidRPr="005D3331" w:rsidRDefault="00D01D99" w:rsidP="00127180">
            <w:pPr>
              <w:rPr>
                <w:lang w:eastAsia="en-GB"/>
              </w:rPr>
            </w:pPr>
            <w:r w:rsidRPr="00D01D99">
              <w:rPr>
                <w:lang w:eastAsia="en-GB"/>
              </w:rPr>
              <w:t>Metformin 1000mg modified-release tablets (brands and generic): consider swapping to metformin 500mg immediate-release tablets</w:t>
            </w:r>
          </w:p>
        </w:tc>
        <w:tc>
          <w:tcPr>
            <w:tcW w:w="1276" w:type="dxa"/>
            <w:shd w:val="clear" w:color="D6DBE8" w:fill="F2F2F2" w:themeFill="background1" w:themeFillShade="F2"/>
            <w:vAlign w:val="center"/>
          </w:tcPr>
          <w:p w:rsidR="00923D0D" w:rsidRPr="005D3331" w:rsidRDefault="00D01D99" w:rsidP="00127180">
            <w:pPr>
              <w:rPr>
                <w:lang w:eastAsia="en-GB"/>
              </w:rPr>
            </w:pPr>
            <w:r>
              <w:rPr>
                <w:lang w:eastAsia="en-GB"/>
              </w:rPr>
              <w:t>432</w:t>
            </w:r>
          </w:p>
        </w:tc>
        <w:tc>
          <w:tcPr>
            <w:tcW w:w="1275" w:type="dxa"/>
            <w:shd w:val="clear" w:color="D6DBE8" w:fill="F2F2F2" w:themeFill="background1" w:themeFillShade="F2"/>
            <w:vAlign w:val="center"/>
          </w:tcPr>
          <w:p w:rsidR="00923D0D" w:rsidRPr="005D3331" w:rsidRDefault="00D01D99" w:rsidP="00127180">
            <w:pPr>
              <w:rPr>
                <w:lang w:eastAsia="en-GB"/>
              </w:rPr>
            </w:pPr>
            <w:r>
              <w:rPr>
                <w:lang w:eastAsia="en-GB"/>
              </w:rPr>
              <w:t>268</w:t>
            </w:r>
          </w:p>
        </w:tc>
        <w:tc>
          <w:tcPr>
            <w:tcW w:w="993" w:type="dxa"/>
            <w:shd w:val="clear" w:color="D6DBE8" w:fill="F2F2F2" w:themeFill="background1" w:themeFillShade="F2"/>
          </w:tcPr>
          <w:p w:rsidR="00923D0D" w:rsidRPr="001E2FCC" w:rsidRDefault="00D01D99" w:rsidP="00127180">
            <w:pPr>
              <w:rPr>
                <w:b/>
                <w:lang w:eastAsia="en-GB"/>
              </w:rPr>
            </w:pPr>
            <w:r>
              <w:rPr>
                <w:b/>
                <w:lang w:eastAsia="en-GB"/>
              </w:rPr>
              <w:t>£3251</w:t>
            </w:r>
          </w:p>
        </w:tc>
      </w:tr>
    </w:tbl>
    <w:p w:rsidR="00127180" w:rsidRPr="00127180" w:rsidRDefault="00127180" w:rsidP="00127180">
      <w:pPr>
        <w:pStyle w:val="Heading1"/>
        <w:pBdr>
          <w:top w:val="single" w:sz="24" w:space="0" w:color="0F6FC6"/>
          <w:left w:val="single" w:sz="24" w:space="0" w:color="0F6FC6"/>
          <w:bottom w:val="single" w:sz="24" w:space="0" w:color="0F6FC6"/>
          <w:right w:val="single" w:sz="24" w:space="0" w:color="0F6FC6"/>
        </w:pBdr>
        <w:shd w:val="clear" w:color="auto" w:fill="0F6FC6"/>
        <w:spacing w:before="200" w:after="0"/>
        <w:rPr>
          <w:rFonts w:ascii="Arial" w:eastAsia="Times New Roman" w:hAnsi="Arial" w:cs="Arial"/>
          <w:bCs/>
          <w:caps/>
          <w:color w:val="FFFFFF"/>
          <w:spacing w:val="15"/>
        </w:rPr>
      </w:pPr>
      <w:bookmarkStart w:id="4" w:name="_Toc524684527"/>
      <w:r>
        <w:rPr>
          <w:rFonts w:ascii="Arial" w:eastAsia="Times New Roman" w:hAnsi="Arial" w:cs="Arial"/>
          <w:bCs/>
          <w:caps/>
          <w:color w:val="FFFFFF"/>
          <w:spacing w:val="15"/>
        </w:rPr>
        <w:t>FDB Medic</w:t>
      </w:r>
      <w:r w:rsidRPr="00127180">
        <w:rPr>
          <w:rFonts w:ascii="Arial" w:eastAsia="Times New Roman" w:hAnsi="Arial" w:cs="Arial"/>
          <w:bCs/>
          <w:caps/>
          <w:color w:val="FFFFFF"/>
          <w:spacing w:val="15"/>
        </w:rPr>
        <w:t>ation Review Button (S1 only)</w:t>
      </w:r>
      <w:bookmarkEnd w:id="4"/>
      <w:r w:rsidRPr="00127180">
        <w:rPr>
          <w:rFonts w:ascii="Arial" w:eastAsia="Times New Roman" w:hAnsi="Arial" w:cs="Arial"/>
          <w:bCs/>
          <w:caps/>
          <w:color w:val="FFFFFF"/>
          <w:spacing w:val="15"/>
        </w:rPr>
        <w:t xml:space="preserve"> </w:t>
      </w:r>
    </w:p>
    <w:p w:rsidR="00AA1C01" w:rsidRPr="00177390" w:rsidRDefault="00DF694E" w:rsidP="00973CAB">
      <w:pPr>
        <w:spacing w:before="100" w:beforeAutospacing="1" w:after="100" w:afterAutospacing="1" w:line="240" w:lineRule="auto"/>
        <w:rPr>
          <w:rFonts w:ascii="Arial" w:eastAsia="Times New Roman" w:hAnsi="Arial" w:cs="Arial"/>
          <w:lang w:eastAsia="en-GB"/>
        </w:rPr>
      </w:pPr>
      <w:r w:rsidRPr="00177390">
        <w:rPr>
          <w:rFonts w:ascii="Arial" w:eastAsia="Times New Roman" w:hAnsi="Arial" w:cs="Arial"/>
          <w:lang w:eastAsia="en-GB"/>
        </w:rPr>
        <w:t>C</w:t>
      </w:r>
      <w:r w:rsidR="003E7AD6" w:rsidRPr="00177390">
        <w:rPr>
          <w:rFonts w:ascii="Arial" w:eastAsia="Times New Roman" w:hAnsi="Arial" w:cs="Arial"/>
          <w:lang w:eastAsia="en-GB"/>
        </w:rPr>
        <w:t>urrently available on SystemOne only, the FDB button is a useful tool</w:t>
      </w:r>
      <w:r w:rsidR="005F04CC" w:rsidRPr="00177390">
        <w:rPr>
          <w:rFonts w:ascii="Arial" w:eastAsia="Times New Roman" w:hAnsi="Arial" w:cs="Arial"/>
          <w:lang w:eastAsia="en-GB"/>
        </w:rPr>
        <w:t xml:space="preserve">, especially for complex multi-morbidity and polypharmacy patients, to allow prescribers to identify opportunities for optimising all current prescriptions for any given patient.  The </w:t>
      </w:r>
      <w:r w:rsidR="006337B9" w:rsidRPr="00177390">
        <w:rPr>
          <w:rFonts w:ascii="Arial" w:eastAsia="Times New Roman" w:hAnsi="Arial" w:cs="Arial"/>
          <w:lang w:eastAsia="en-GB"/>
        </w:rPr>
        <w:t>patients’</w:t>
      </w:r>
      <w:r w:rsidR="005F04CC" w:rsidRPr="00177390">
        <w:rPr>
          <w:rFonts w:ascii="Arial" w:eastAsia="Times New Roman" w:hAnsi="Arial" w:cs="Arial"/>
          <w:lang w:eastAsia="en-GB"/>
        </w:rPr>
        <w:t xml:space="preserve"> record is reviewed against all Optimise</w:t>
      </w:r>
      <w:r w:rsidR="00127180" w:rsidRPr="00177390">
        <w:rPr>
          <w:rFonts w:ascii="Arial" w:eastAsia="Times New Roman" w:hAnsi="Arial" w:cs="Arial"/>
          <w:lang w:eastAsia="en-GB"/>
        </w:rPr>
        <w:t xml:space="preserve"> </w:t>
      </w:r>
      <w:r w:rsidR="005F04CC" w:rsidRPr="00177390">
        <w:rPr>
          <w:rFonts w:ascii="Arial" w:eastAsia="Times New Roman" w:hAnsi="Arial" w:cs="Arial"/>
          <w:lang w:eastAsia="en-GB"/>
        </w:rPr>
        <w:t xml:space="preserve">Rx messages and will return the results in a summary window.  </w:t>
      </w:r>
    </w:p>
    <w:p w:rsidR="005F04CC" w:rsidRPr="00177390" w:rsidRDefault="005F04CC" w:rsidP="00973CAB">
      <w:pPr>
        <w:spacing w:before="100" w:beforeAutospacing="1" w:after="100" w:afterAutospacing="1" w:line="240" w:lineRule="auto"/>
        <w:rPr>
          <w:rFonts w:ascii="Arial" w:eastAsia="Times New Roman" w:hAnsi="Arial" w:cs="Arial"/>
          <w:lang w:eastAsia="en-GB"/>
        </w:rPr>
      </w:pPr>
      <w:r w:rsidRPr="00177390">
        <w:rPr>
          <w:rFonts w:ascii="Arial" w:eastAsia="Times New Roman" w:hAnsi="Arial" w:cs="Arial"/>
          <w:lang w:eastAsia="en-GB"/>
        </w:rPr>
        <w:t>Details of how to add</w:t>
      </w:r>
      <w:r w:rsidR="00032806" w:rsidRPr="00177390">
        <w:rPr>
          <w:rFonts w:ascii="Arial" w:eastAsia="Times New Roman" w:hAnsi="Arial" w:cs="Arial"/>
          <w:lang w:eastAsia="en-GB"/>
        </w:rPr>
        <w:t xml:space="preserve"> and use the FDB button</w:t>
      </w:r>
      <w:r w:rsidRPr="00177390">
        <w:rPr>
          <w:rFonts w:ascii="Arial" w:eastAsia="Times New Roman" w:hAnsi="Arial" w:cs="Arial"/>
          <w:lang w:eastAsia="en-GB"/>
        </w:rPr>
        <w:t xml:space="preserve"> can be found on the medicines management website </w:t>
      </w:r>
      <w:r w:rsidR="006337B9" w:rsidRPr="00177390">
        <w:rPr>
          <w:rFonts w:ascii="Arial" w:eastAsia="Times New Roman" w:hAnsi="Arial" w:cs="Arial"/>
          <w:lang w:eastAsia="en-GB"/>
        </w:rPr>
        <w:t xml:space="preserve">in the User Guide for SystemOne </w:t>
      </w:r>
      <w:r w:rsidR="00032806" w:rsidRPr="00177390">
        <w:rPr>
          <w:rFonts w:ascii="Arial" w:eastAsia="Times New Roman" w:hAnsi="Arial" w:cs="Arial"/>
          <w:lang w:eastAsia="en-GB"/>
        </w:rPr>
        <w:t xml:space="preserve"> </w:t>
      </w:r>
      <w:hyperlink r:id="rId13" w:history="1">
        <w:r w:rsidR="007A7805" w:rsidRPr="00177390">
          <w:rPr>
            <w:rStyle w:val="Hyperlink"/>
            <w:rFonts w:ascii="Arial" w:eastAsia="Times New Roman" w:hAnsi="Arial" w:cs="Arial"/>
            <w:lang w:eastAsia="en-GB"/>
          </w:rPr>
          <w:t>http://medicinesmanagement.doncasterccg.nhs.uk/guidelines/</w:t>
        </w:r>
      </w:hyperlink>
      <w:r w:rsidR="007A7805" w:rsidRPr="00177390">
        <w:rPr>
          <w:rFonts w:ascii="Arial" w:eastAsia="Times New Roman" w:hAnsi="Arial" w:cs="Arial"/>
          <w:lang w:eastAsia="en-GB"/>
        </w:rPr>
        <w:t xml:space="preserve">.  </w:t>
      </w:r>
      <w:r w:rsidR="00032806" w:rsidRPr="00177390">
        <w:rPr>
          <w:rFonts w:ascii="Arial" w:eastAsia="Times New Roman" w:hAnsi="Arial" w:cs="Arial"/>
          <w:lang w:eastAsia="en-GB"/>
        </w:rPr>
        <w:t>The Emis Web Optimise</w:t>
      </w:r>
      <w:r w:rsidR="00127180" w:rsidRPr="00177390">
        <w:rPr>
          <w:rFonts w:ascii="Arial" w:eastAsia="Times New Roman" w:hAnsi="Arial" w:cs="Arial"/>
          <w:lang w:eastAsia="en-GB"/>
        </w:rPr>
        <w:t xml:space="preserve"> </w:t>
      </w:r>
      <w:r w:rsidR="00032806" w:rsidRPr="00177390">
        <w:rPr>
          <w:rFonts w:ascii="Arial" w:eastAsia="Times New Roman" w:hAnsi="Arial" w:cs="Arial"/>
          <w:lang w:eastAsia="en-GB"/>
        </w:rPr>
        <w:t xml:space="preserve">Rx user guide can also be found here.  </w:t>
      </w:r>
    </w:p>
    <w:p w:rsidR="00127180" w:rsidRPr="00127180" w:rsidRDefault="00127180" w:rsidP="00127180">
      <w:pPr>
        <w:pStyle w:val="Heading1"/>
        <w:pBdr>
          <w:top w:val="single" w:sz="24" w:space="0" w:color="0F6FC6"/>
          <w:left w:val="single" w:sz="24" w:space="0" w:color="0F6FC6"/>
          <w:bottom w:val="single" w:sz="24" w:space="0" w:color="0F6FC6"/>
          <w:right w:val="single" w:sz="24" w:space="0" w:color="0F6FC6"/>
        </w:pBdr>
        <w:shd w:val="clear" w:color="auto" w:fill="0F6FC6"/>
        <w:spacing w:before="200" w:after="0"/>
        <w:rPr>
          <w:rFonts w:ascii="Arial" w:eastAsia="Times New Roman" w:hAnsi="Arial" w:cs="Arial"/>
          <w:bCs/>
          <w:caps/>
          <w:color w:val="FFFFFF"/>
          <w:spacing w:val="15"/>
        </w:rPr>
      </w:pPr>
      <w:bookmarkStart w:id="5" w:name="_Toc524684528"/>
      <w:r w:rsidRPr="00127180">
        <w:rPr>
          <w:rFonts w:ascii="Arial" w:eastAsia="Times New Roman" w:hAnsi="Arial" w:cs="Arial"/>
          <w:bCs/>
          <w:caps/>
          <w:color w:val="FFFFFF"/>
          <w:spacing w:val="15"/>
        </w:rPr>
        <w:t>Contact us</w:t>
      </w:r>
      <w:bookmarkEnd w:id="5"/>
    </w:p>
    <w:p w:rsidR="001E3584" w:rsidRPr="00177390" w:rsidRDefault="007D1BD6" w:rsidP="00973CAB">
      <w:pPr>
        <w:spacing w:before="100" w:beforeAutospacing="1" w:after="100" w:afterAutospacing="1" w:line="240" w:lineRule="auto"/>
        <w:rPr>
          <w:rFonts w:ascii="Arial" w:eastAsia="Times New Roman" w:hAnsi="Arial" w:cs="Arial"/>
          <w:lang w:eastAsia="en-GB"/>
        </w:rPr>
      </w:pPr>
      <w:r w:rsidRPr="00177390">
        <w:rPr>
          <w:rFonts w:ascii="Arial" w:eastAsia="Times New Roman" w:hAnsi="Arial" w:cs="Arial"/>
          <w:lang w:eastAsia="en-GB"/>
        </w:rPr>
        <w:t>If you have any queries, comments or concerns regarding Optimise</w:t>
      </w:r>
      <w:r w:rsidR="00127180" w:rsidRPr="00177390">
        <w:rPr>
          <w:rFonts w:ascii="Arial" w:eastAsia="Times New Roman" w:hAnsi="Arial" w:cs="Arial"/>
          <w:lang w:eastAsia="en-GB"/>
        </w:rPr>
        <w:t xml:space="preserve"> </w:t>
      </w:r>
      <w:r w:rsidRPr="00177390">
        <w:rPr>
          <w:rFonts w:ascii="Arial" w:eastAsia="Times New Roman" w:hAnsi="Arial" w:cs="Arial"/>
          <w:lang w:eastAsia="en-GB"/>
        </w:rPr>
        <w:t xml:space="preserve">Rx and the messages that are offered please contact the medicines management team via </w:t>
      </w:r>
      <w:hyperlink r:id="rId14" w:history="1">
        <w:r w:rsidRPr="00177390">
          <w:rPr>
            <w:rStyle w:val="Hyperlink"/>
            <w:rFonts w:ascii="Arial" w:eastAsia="Times New Roman" w:hAnsi="Arial" w:cs="Arial"/>
            <w:lang w:eastAsia="en-GB"/>
          </w:rPr>
          <w:t>DONCCG.Medicinesmanagementadmin@NHS.net</w:t>
        </w:r>
      </w:hyperlink>
      <w:r w:rsidR="006F5847" w:rsidRPr="00177390">
        <w:rPr>
          <w:rFonts w:ascii="Arial" w:eastAsia="Times New Roman" w:hAnsi="Arial" w:cs="Arial"/>
          <w:lang w:eastAsia="en-GB"/>
        </w:rPr>
        <w:t xml:space="preserve"> </w:t>
      </w:r>
    </w:p>
    <w:p w:rsidR="00DF694E" w:rsidRPr="00177390" w:rsidRDefault="001E3584" w:rsidP="00973CAB">
      <w:pPr>
        <w:spacing w:before="100" w:beforeAutospacing="1" w:after="100" w:afterAutospacing="1" w:line="240" w:lineRule="auto"/>
        <w:rPr>
          <w:rFonts w:ascii="Arial" w:eastAsia="Times New Roman" w:hAnsi="Arial" w:cs="Arial"/>
          <w:lang w:eastAsia="en-GB"/>
        </w:rPr>
      </w:pPr>
      <w:r w:rsidRPr="00177390">
        <w:rPr>
          <w:rFonts w:ascii="Arial" w:eastAsia="Times New Roman" w:hAnsi="Arial" w:cs="Arial"/>
          <w:lang w:eastAsia="en-GB"/>
        </w:rPr>
        <w:t>You can also use this address</w:t>
      </w:r>
      <w:r w:rsidR="00DF694E" w:rsidRPr="00177390">
        <w:rPr>
          <w:rFonts w:ascii="Arial" w:eastAsia="Times New Roman" w:hAnsi="Arial" w:cs="Arial"/>
          <w:lang w:eastAsia="en-GB"/>
        </w:rPr>
        <w:t xml:space="preserve"> if you have any suggestions for new messages or feedback for the current messages offered.  </w:t>
      </w:r>
      <w:r w:rsidRPr="00177390">
        <w:rPr>
          <w:rFonts w:ascii="Arial" w:eastAsia="Times New Roman" w:hAnsi="Arial" w:cs="Arial"/>
          <w:lang w:eastAsia="en-GB"/>
        </w:rPr>
        <w:t xml:space="preserve">Your feedback is read and acted upon by our working group who actively maintain the profile each fortnight.  </w:t>
      </w:r>
    </w:p>
    <w:p w:rsidR="00032806" w:rsidRPr="005D3331" w:rsidRDefault="00032806" w:rsidP="00973CAB">
      <w:pPr>
        <w:spacing w:before="100" w:beforeAutospacing="1" w:after="100" w:afterAutospacing="1" w:line="240" w:lineRule="auto"/>
        <w:rPr>
          <w:rFonts w:eastAsia="Times New Roman" w:cs="Arial"/>
          <w:lang w:eastAsia="en-GB"/>
        </w:rPr>
      </w:pPr>
    </w:p>
    <w:p w:rsidR="00973CAB" w:rsidRDefault="00973CAB" w:rsidP="00973CAB">
      <w:pPr>
        <w:spacing w:before="100" w:beforeAutospacing="1" w:after="100" w:afterAutospacing="1" w:line="240" w:lineRule="auto"/>
        <w:rPr>
          <w:rFonts w:eastAsia="Times New Roman" w:cs="Arial"/>
          <w:lang w:eastAsia="en-GB"/>
        </w:rPr>
      </w:pPr>
    </w:p>
    <w:p w:rsidR="007C2FF8" w:rsidRDefault="007C2FF8" w:rsidP="001E3584">
      <w:pPr>
        <w:spacing w:before="100" w:beforeAutospacing="1" w:after="100" w:afterAutospacing="1" w:line="240" w:lineRule="auto"/>
        <w:jc w:val="center"/>
        <w:rPr>
          <w:rFonts w:eastAsia="Times New Roman" w:cs="Arial"/>
          <w:b/>
          <w:lang w:eastAsia="en-GB"/>
        </w:rPr>
      </w:pPr>
    </w:p>
    <w:p w:rsidR="007C2FF8" w:rsidRPr="00973CAB" w:rsidRDefault="007C2FF8" w:rsidP="007C2FF8">
      <w:pPr>
        <w:spacing w:before="100" w:beforeAutospacing="1" w:after="100" w:afterAutospacing="1" w:line="240" w:lineRule="auto"/>
        <w:jc w:val="center"/>
        <w:rPr>
          <w:rFonts w:eastAsia="Times New Roman" w:cs="Arial"/>
          <w:b/>
          <w:lang w:eastAsia="en-GB"/>
        </w:rPr>
      </w:pPr>
    </w:p>
    <w:sectPr w:rsidR="007C2FF8" w:rsidRPr="00973CAB" w:rsidSect="005E4F1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5B" w:rsidRDefault="00680E5B" w:rsidP="005E4F13">
      <w:pPr>
        <w:spacing w:after="0" w:line="240" w:lineRule="auto"/>
      </w:pPr>
      <w:r>
        <w:separator/>
      </w:r>
    </w:p>
  </w:endnote>
  <w:endnote w:type="continuationSeparator" w:id="0">
    <w:p w:rsidR="00680E5B" w:rsidRDefault="00680E5B" w:rsidP="005E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5B" w:rsidRDefault="00680E5B" w:rsidP="005E4F13">
      <w:pPr>
        <w:spacing w:after="0" w:line="240" w:lineRule="auto"/>
      </w:pPr>
      <w:r>
        <w:separator/>
      </w:r>
    </w:p>
  </w:footnote>
  <w:footnote w:type="continuationSeparator" w:id="0">
    <w:p w:rsidR="00680E5B" w:rsidRDefault="00680E5B" w:rsidP="005E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13" w:rsidRDefault="005E4F13" w:rsidP="005E4F13">
    <w:pPr>
      <w:pStyle w:val="Header"/>
    </w:pPr>
    <w:r>
      <w:rPr>
        <w:noProof/>
        <w:lang w:eastAsia="en-GB"/>
      </w:rPr>
      <w:drawing>
        <wp:inline distT="0" distB="0" distL="0" distR="0" wp14:anchorId="3467774C" wp14:editId="0058705C">
          <wp:extent cx="1580083" cy="400185"/>
          <wp:effectExtent l="0" t="0" r="1270" b="0"/>
          <wp:docPr id="12" name="Picture 12" descr="E:\mmt 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t 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821" cy="402398"/>
                  </a:xfrm>
                  <a:prstGeom prst="rect">
                    <a:avLst/>
                  </a:prstGeom>
                  <a:noFill/>
                  <a:ln>
                    <a:noFill/>
                  </a:ln>
                </pic:spPr>
              </pic:pic>
            </a:graphicData>
          </a:graphic>
        </wp:inline>
      </w:drawing>
    </w:r>
    <w:r>
      <w:t xml:space="preserve">                                                                                            </w:t>
    </w:r>
    <w:r>
      <w:rPr>
        <w:noProof/>
        <w:lang w:eastAsia="en-GB"/>
      </w:rPr>
      <w:drawing>
        <wp:anchor distT="0" distB="0" distL="114300" distR="114300" simplePos="0" relativeHeight="251663360" behindDoc="0" locked="0" layoutInCell="1" allowOverlap="1" wp14:anchorId="5BDB336A" wp14:editId="035059FB">
          <wp:simplePos x="0" y="0"/>
          <wp:positionH relativeFrom="column">
            <wp:posOffset>8257540</wp:posOffset>
          </wp:positionH>
          <wp:positionV relativeFrom="paragraph">
            <wp:posOffset>293370</wp:posOffset>
          </wp:positionV>
          <wp:extent cx="1972945" cy="779145"/>
          <wp:effectExtent l="0" t="0" r="825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9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inline distT="0" distB="0" distL="0" distR="0" wp14:anchorId="3C98A656" wp14:editId="4731F4E8">
          <wp:extent cx="1969135" cy="7804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9135" cy="780415"/>
                  </a:xfrm>
                  <a:prstGeom prst="rect">
                    <a:avLst/>
                  </a:prstGeom>
                  <a:noFill/>
                </pic:spPr>
              </pic:pic>
            </a:graphicData>
          </a:graphic>
        </wp:inline>
      </w:drawing>
    </w:r>
    <w:r>
      <w:rPr>
        <w:noProof/>
        <w:lang w:eastAsia="en-GB"/>
      </w:rPr>
      <w:drawing>
        <wp:anchor distT="0" distB="0" distL="114300" distR="114300" simplePos="0" relativeHeight="251665408" behindDoc="0" locked="0" layoutInCell="1" allowOverlap="1" wp14:anchorId="628D3395" wp14:editId="5E00CA05">
          <wp:simplePos x="0" y="0"/>
          <wp:positionH relativeFrom="column">
            <wp:posOffset>8409940</wp:posOffset>
          </wp:positionH>
          <wp:positionV relativeFrom="paragraph">
            <wp:posOffset>445770</wp:posOffset>
          </wp:positionV>
          <wp:extent cx="1972945" cy="779145"/>
          <wp:effectExtent l="0" t="0" r="8255" b="190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9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F531B6C" wp14:editId="124FF6DF">
          <wp:simplePos x="0" y="0"/>
          <wp:positionH relativeFrom="column">
            <wp:posOffset>8105140</wp:posOffset>
          </wp:positionH>
          <wp:positionV relativeFrom="paragraph">
            <wp:posOffset>140970</wp:posOffset>
          </wp:positionV>
          <wp:extent cx="1972945" cy="779145"/>
          <wp:effectExtent l="0" t="0" r="8255" b="190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9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0BE8D6C" wp14:editId="49443BDB">
          <wp:simplePos x="0" y="0"/>
          <wp:positionH relativeFrom="column">
            <wp:posOffset>7952740</wp:posOffset>
          </wp:positionH>
          <wp:positionV relativeFrom="paragraph">
            <wp:posOffset>-11430</wp:posOffset>
          </wp:positionV>
          <wp:extent cx="1972945" cy="779145"/>
          <wp:effectExtent l="0" t="0" r="8255" b="1905"/>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9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85592"/>
    <w:multiLevelType w:val="hybridMultilevel"/>
    <w:tmpl w:val="C8DE646A"/>
    <w:lvl w:ilvl="0" w:tplc="5EA2C7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05"/>
    <w:rsid w:val="0001461E"/>
    <w:rsid w:val="00031F17"/>
    <w:rsid w:val="00032806"/>
    <w:rsid w:val="000477ED"/>
    <w:rsid w:val="000B087B"/>
    <w:rsid w:val="00127180"/>
    <w:rsid w:val="001771AD"/>
    <w:rsid w:val="00177390"/>
    <w:rsid w:val="001E2FCC"/>
    <w:rsid w:val="001E3584"/>
    <w:rsid w:val="00200EB3"/>
    <w:rsid w:val="003927B6"/>
    <w:rsid w:val="003E7AD6"/>
    <w:rsid w:val="004C0E6A"/>
    <w:rsid w:val="005073CD"/>
    <w:rsid w:val="00565C1A"/>
    <w:rsid w:val="005D3331"/>
    <w:rsid w:val="005E4F13"/>
    <w:rsid w:val="005F04CC"/>
    <w:rsid w:val="006337B9"/>
    <w:rsid w:val="00680E5B"/>
    <w:rsid w:val="006C264F"/>
    <w:rsid w:val="006F5847"/>
    <w:rsid w:val="00716FD8"/>
    <w:rsid w:val="00750292"/>
    <w:rsid w:val="007907B7"/>
    <w:rsid w:val="007A7805"/>
    <w:rsid w:val="007C2FF8"/>
    <w:rsid w:val="007D1BD6"/>
    <w:rsid w:val="007D5F92"/>
    <w:rsid w:val="007E6262"/>
    <w:rsid w:val="00843D9B"/>
    <w:rsid w:val="008A4A6C"/>
    <w:rsid w:val="008F4178"/>
    <w:rsid w:val="00923D0D"/>
    <w:rsid w:val="00927605"/>
    <w:rsid w:val="00941BDE"/>
    <w:rsid w:val="009475D4"/>
    <w:rsid w:val="009554ED"/>
    <w:rsid w:val="00973CAB"/>
    <w:rsid w:val="00975E18"/>
    <w:rsid w:val="009A713B"/>
    <w:rsid w:val="009C47D2"/>
    <w:rsid w:val="009D66AB"/>
    <w:rsid w:val="00A128FE"/>
    <w:rsid w:val="00A63E17"/>
    <w:rsid w:val="00A7525B"/>
    <w:rsid w:val="00A9629B"/>
    <w:rsid w:val="00AA1C01"/>
    <w:rsid w:val="00BB3EAF"/>
    <w:rsid w:val="00D01D99"/>
    <w:rsid w:val="00DB7671"/>
    <w:rsid w:val="00DF694E"/>
    <w:rsid w:val="00E1294D"/>
    <w:rsid w:val="00EC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62"/>
  </w:style>
  <w:style w:type="paragraph" w:styleId="Heading1">
    <w:name w:val="heading 1"/>
    <w:basedOn w:val="Normal"/>
    <w:next w:val="Normal"/>
    <w:link w:val="Heading1Char"/>
    <w:uiPriority w:val="9"/>
    <w:qFormat/>
    <w:rsid w:val="00BB3EAF"/>
    <w:pPr>
      <w:outlineLvl w:val="0"/>
    </w:pPr>
    <w:rPr>
      <w:b/>
    </w:rPr>
  </w:style>
  <w:style w:type="paragraph" w:styleId="Heading2">
    <w:name w:val="heading 2"/>
    <w:basedOn w:val="Normal"/>
    <w:next w:val="Normal"/>
    <w:link w:val="Heading2Char"/>
    <w:uiPriority w:val="9"/>
    <w:semiHidden/>
    <w:unhideWhenUsed/>
    <w:qFormat/>
    <w:rsid w:val="007E6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2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2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62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62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62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2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2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ection-2">
    <w:name w:val="message-section-2"/>
    <w:basedOn w:val="Normal"/>
    <w:rsid w:val="00973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section-3">
    <w:name w:val="message-section-3"/>
    <w:basedOn w:val="Normal"/>
    <w:rsid w:val="00973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6FD8"/>
    <w:rPr>
      <w:color w:val="0000FF" w:themeColor="hyperlink"/>
      <w:u w:val="single"/>
    </w:rPr>
  </w:style>
  <w:style w:type="paragraph" w:styleId="Header">
    <w:name w:val="header"/>
    <w:basedOn w:val="Normal"/>
    <w:link w:val="HeaderChar"/>
    <w:uiPriority w:val="99"/>
    <w:unhideWhenUsed/>
    <w:rsid w:val="005E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13"/>
  </w:style>
  <w:style w:type="paragraph" w:styleId="Footer">
    <w:name w:val="footer"/>
    <w:basedOn w:val="Normal"/>
    <w:link w:val="FooterChar"/>
    <w:uiPriority w:val="99"/>
    <w:unhideWhenUsed/>
    <w:rsid w:val="005E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13"/>
  </w:style>
  <w:style w:type="paragraph" w:styleId="BalloonText">
    <w:name w:val="Balloon Text"/>
    <w:basedOn w:val="Normal"/>
    <w:link w:val="BalloonTextChar"/>
    <w:uiPriority w:val="99"/>
    <w:semiHidden/>
    <w:unhideWhenUsed/>
    <w:rsid w:val="005E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13"/>
    <w:rPr>
      <w:rFonts w:ascii="Tahoma" w:hAnsi="Tahoma" w:cs="Tahoma"/>
      <w:sz w:val="16"/>
      <w:szCs w:val="16"/>
    </w:rPr>
  </w:style>
  <w:style w:type="paragraph" w:styleId="ListParagraph">
    <w:name w:val="List Paragraph"/>
    <w:basedOn w:val="Normal"/>
    <w:uiPriority w:val="34"/>
    <w:qFormat/>
    <w:rsid w:val="007E6262"/>
    <w:pPr>
      <w:ind w:left="720"/>
      <w:contextualSpacing/>
    </w:pPr>
  </w:style>
  <w:style w:type="paragraph" w:styleId="NoSpacing">
    <w:name w:val="No Spacing"/>
    <w:basedOn w:val="Normal"/>
    <w:uiPriority w:val="1"/>
    <w:qFormat/>
    <w:rsid w:val="007E6262"/>
    <w:pPr>
      <w:spacing w:after="0" w:line="240" w:lineRule="auto"/>
    </w:pPr>
  </w:style>
  <w:style w:type="table" w:styleId="TableGrid">
    <w:name w:val="Table Grid"/>
    <w:basedOn w:val="TableNormal"/>
    <w:uiPriority w:val="59"/>
    <w:rsid w:val="007D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3EAF"/>
    <w:rPr>
      <w:b/>
    </w:rPr>
  </w:style>
  <w:style w:type="character" w:customStyle="1" w:styleId="Heading2Char">
    <w:name w:val="Heading 2 Char"/>
    <w:basedOn w:val="DefaultParagraphFont"/>
    <w:link w:val="Heading2"/>
    <w:uiPriority w:val="9"/>
    <w:semiHidden/>
    <w:rsid w:val="007E62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62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62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62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62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6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626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E6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2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62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626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E6262"/>
    <w:rPr>
      <w:b/>
      <w:bCs/>
    </w:rPr>
  </w:style>
  <w:style w:type="character" w:styleId="Emphasis">
    <w:name w:val="Emphasis"/>
    <w:uiPriority w:val="20"/>
    <w:qFormat/>
    <w:rsid w:val="007E6262"/>
    <w:rPr>
      <w:i/>
      <w:iCs/>
    </w:rPr>
  </w:style>
  <w:style w:type="paragraph" w:styleId="Quote">
    <w:name w:val="Quote"/>
    <w:basedOn w:val="Normal"/>
    <w:next w:val="Normal"/>
    <w:link w:val="QuoteChar"/>
    <w:uiPriority w:val="29"/>
    <w:qFormat/>
    <w:rsid w:val="007E6262"/>
    <w:rPr>
      <w:i/>
      <w:iCs/>
      <w:color w:val="000000" w:themeColor="text1"/>
    </w:rPr>
  </w:style>
  <w:style w:type="character" w:customStyle="1" w:styleId="QuoteChar">
    <w:name w:val="Quote Char"/>
    <w:basedOn w:val="DefaultParagraphFont"/>
    <w:link w:val="Quote"/>
    <w:uiPriority w:val="29"/>
    <w:rsid w:val="007E6262"/>
    <w:rPr>
      <w:i/>
      <w:iCs/>
      <w:color w:val="000000" w:themeColor="text1"/>
    </w:rPr>
  </w:style>
  <w:style w:type="paragraph" w:styleId="IntenseQuote">
    <w:name w:val="Intense Quote"/>
    <w:basedOn w:val="Normal"/>
    <w:next w:val="Normal"/>
    <w:link w:val="IntenseQuoteChar"/>
    <w:uiPriority w:val="30"/>
    <w:qFormat/>
    <w:rsid w:val="007E62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262"/>
    <w:rPr>
      <w:b/>
      <w:bCs/>
      <w:i/>
      <w:iCs/>
      <w:color w:val="4F81BD" w:themeColor="accent1"/>
    </w:rPr>
  </w:style>
  <w:style w:type="character" w:styleId="SubtleEmphasis">
    <w:name w:val="Subtle Emphasis"/>
    <w:uiPriority w:val="19"/>
    <w:qFormat/>
    <w:rsid w:val="007E6262"/>
    <w:rPr>
      <w:i/>
      <w:iCs/>
      <w:color w:val="808080" w:themeColor="text1" w:themeTint="7F"/>
    </w:rPr>
  </w:style>
  <w:style w:type="character" w:styleId="IntenseEmphasis">
    <w:name w:val="Intense Emphasis"/>
    <w:uiPriority w:val="21"/>
    <w:qFormat/>
    <w:rsid w:val="007E6262"/>
    <w:rPr>
      <w:b/>
      <w:bCs/>
      <w:i/>
      <w:iCs/>
      <w:color w:val="4F81BD" w:themeColor="accent1"/>
    </w:rPr>
  </w:style>
  <w:style w:type="character" w:styleId="SubtleReference">
    <w:name w:val="Subtle Reference"/>
    <w:uiPriority w:val="31"/>
    <w:qFormat/>
    <w:rsid w:val="007E6262"/>
    <w:rPr>
      <w:smallCaps/>
      <w:color w:val="C0504D" w:themeColor="accent2"/>
      <w:u w:val="single"/>
    </w:rPr>
  </w:style>
  <w:style w:type="character" w:styleId="IntenseReference">
    <w:name w:val="Intense Reference"/>
    <w:uiPriority w:val="32"/>
    <w:qFormat/>
    <w:rsid w:val="007E6262"/>
    <w:rPr>
      <w:b/>
      <w:bCs/>
      <w:smallCaps/>
      <w:color w:val="C0504D" w:themeColor="accent2"/>
      <w:spacing w:val="5"/>
      <w:u w:val="single"/>
    </w:rPr>
  </w:style>
  <w:style w:type="character" w:styleId="BookTitle">
    <w:name w:val="Book Title"/>
    <w:uiPriority w:val="33"/>
    <w:qFormat/>
    <w:rsid w:val="007E6262"/>
    <w:rPr>
      <w:b/>
      <w:bCs/>
      <w:smallCaps/>
      <w:spacing w:val="5"/>
    </w:rPr>
  </w:style>
  <w:style w:type="paragraph" w:styleId="TOCHeading">
    <w:name w:val="TOC Heading"/>
    <w:basedOn w:val="Heading1"/>
    <w:next w:val="Normal"/>
    <w:uiPriority w:val="39"/>
    <w:semiHidden/>
    <w:unhideWhenUsed/>
    <w:qFormat/>
    <w:rsid w:val="007E6262"/>
    <w:pPr>
      <w:outlineLvl w:val="9"/>
    </w:pPr>
  </w:style>
  <w:style w:type="character" w:styleId="FollowedHyperlink">
    <w:name w:val="FollowedHyperlink"/>
    <w:basedOn w:val="DefaultParagraphFont"/>
    <w:uiPriority w:val="99"/>
    <w:semiHidden/>
    <w:unhideWhenUsed/>
    <w:rsid w:val="00975E18"/>
    <w:rPr>
      <w:color w:val="800080" w:themeColor="followedHyperlink"/>
      <w:u w:val="single"/>
    </w:rPr>
  </w:style>
  <w:style w:type="paragraph" w:styleId="TOC1">
    <w:name w:val="toc 1"/>
    <w:basedOn w:val="Normal"/>
    <w:next w:val="Normal"/>
    <w:autoRedefine/>
    <w:uiPriority w:val="39"/>
    <w:unhideWhenUsed/>
    <w:rsid w:val="00127180"/>
    <w:pPr>
      <w:spacing w:after="100"/>
    </w:pPr>
  </w:style>
  <w:style w:type="paragraph" w:styleId="TOC2">
    <w:name w:val="toc 2"/>
    <w:basedOn w:val="Normal"/>
    <w:next w:val="Normal"/>
    <w:autoRedefine/>
    <w:uiPriority w:val="39"/>
    <w:unhideWhenUsed/>
    <w:rsid w:val="00127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62"/>
  </w:style>
  <w:style w:type="paragraph" w:styleId="Heading1">
    <w:name w:val="heading 1"/>
    <w:basedOn w:val="Normal"/>
    <w:next w:val="Normal"/>
    <w:link w:val="Heading1Char"/>
    <w:uiPriority w:val="9"/>
    <w:qFormat/>
    <w:rsid w:val="00BB3EAF"/>
    <w:pPr>
      <w:outlineLvl w:val="0"/>
    </w:pPr>
    <w:rPr>
      <w:b/>
    </w:rPr>
  </w:style>
  <w:style w:type="paragraph" w:styleId="Heading2">
    <w:name w:val="heading 2"/>
    <w:basedOn w:val="Normal"/>
    <w:next w:val="Normal"/>
    <w:link w:val="Heading2Char"/>
    <w:uiPriority w:val="9"/>
    <w:semiHidden/>
    <w:unhideWhenUsed/>
    <w:qFormat/>
    <w:rsid w:val="007E62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62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62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62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62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62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2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2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ection-2">
    <w:name w:val="message-section-2"/>
    <w:basedOn w:val="Normal"/>
    <w:rsid w:val="00973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section-3">
    <w:name w:val="message-section-3"/>
    <w:basedOn w:val="Normal"/>
    <w:rsid w:val="00973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6FD8"/>
    <w:rPr>
      <w:color w:val="0000FF" w:themeColor="hyperlink"/>
      <w:u w:val="single"/>
    </w:rPr>
  </w:style>
  <w:style w:type="paragraph" w:styleId="Header">
    <w:name w:val="header"/>
    <w:basedOn w:val="Normal"/>
    <w:link w:val="HeaderChar"/>
    <w:uiPriority w:val="99"/>
    <w:unhideWhenUsed/>
    <w:rsid w:val="005E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13"/>
  </w:style>
  <w:style w:type="paragraph" w:styleId="Footer">
    <w:name w:val="footer"/>
    <w:basedOn w:val="Normal"/>
    <w:link w:val="FooterChar"/>
    <w:uiPriority w:val="99"/>
    <w:unhideWhenUsed/>
    <w:rsid w:val="005E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13"/>
  </w:style>
  <w:style w:type="paragraph" w:styleId="BalloonText">
    <w:name w:val="Balloon Text"/>
    <w:basedOn w:val="Normal"/>
    <w:link w:val="BalloonTextChar"/>
    <w:uiPriority w:val="99"/>
    <w:semiHidden/>
    <w:unhideWhenUsed/>
    <w:rsid w:val="005E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13"/>
    <w:rPr>
      <w:rFonts w:ascii="Tahoma" w:hAnsi="Tahoma" w:cs="Tahoma"/>
      <w:sz w:val="16"/>
      <w:szCs w:val="16"/>
    </w:rPr>
  </w:style>
  <w:style w:type="paragraph" w:styleId="ListParagraph">
    <w:name w:val="List Paragraph"/>
    <w:basedOn w:val="Normal"/>
    <w:uiPriority w:val="34"/>
    <w:qFormat/>
    <w:rsid w:val="007E6262"/>
    <w:pPr>
      <w:ind w:left="720"/>
      <w:contextualSpacing/>
    </w:pPr>
  </w:style>
  <w:style w:type="paragraph" w:styleId="NoSpacing">
    <w:name w:val="No Spacing"/>
    <w:basedOn w:val="Normal"/>
    <w:uiPriority w:val="1"/>
    <w:qFormat/>
    <w:rsid w:val="007E6262"/>
    <w:pPr>
      <w:spacing w:after="0" w:line="240" w:lineRule="auto"/>
    </w:pPr>
  </w:style>
  <w:style w:type="table" w:styleId="TableGrid">
    <w:name w:val="Table Grid"/>
    <w:basedOn w:val="TableNormal"/>
    <w:uiPriority w:val="59"/>
    <w:rsid w:val="007D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3EAF"/>
    <w:rPr>
      <w:b/>
    </w:rPr>
  </w:style>
  <w:style w:type="character" w:customStyle="1" w:styleId="Heading2Char">
    <w:name w:val="Heading 2 Char"/>
    <w:basedOn w:val="DefaultParagraphFont"/>
    <w:link w:val="Heading2"/>
    <w:uiPriority w:val="9"/>
    <w:semiHidden/>
    <w:rsid w:val="007E62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62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62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62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62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6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626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E6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2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62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6262"/>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E6262"/>
    <w:rPr>
      <w:b/>
      <w:bCs/>
    </w:rPr>
  </w:style>
  <w:style w:type="character" w:styleId="Emphasis">
    <w:name w:val="Emphasis"/>
    <w:uiPriority w:val="20"/>
    <w:qFormat/>
    <w:rsid w:val="007E6262"/>
    <w:rPr>
      <w:i/>
      <w:iCs/>
    </w:rPr>
  </w:style>
  <w:style w:type="paragraph" w:styleId="Quote">
    <w:name w:val="Quote"/>
    <w:basedOn w:val="Normal"/>
    <w:next w:val="Normal"/>
    <w:link w:val="QuoteChar"/>
    <w:uiPriority w:val="29"/>
    <w:qFormat/>
    <w:rsid w:val="007E6262"/>
    <w:rPr>
      <w:i/>
      <w:iCs/>
      <w:color w:val="000000" w:themeColor="text1"/>
    </w:rPr>
  </w:style>
  <w:style w:type="character" w:customStyle="1" w:styleId="QuoteChar">
    <w:name w:val="Quote Char"/>
    <w:basedOn w:val="DefaultParagraphFont"/>
    <w:link w:val="Quote"/>
    <w:uiPriority w:val="29"/>
    <w:rsid w:val="007E6262"/>
    <w:rPr>
      <w:i/>
      <w:iCs/>
      <w:color w:val="000000" w:themeColor="text1"/>
    </w:rPr>
  </w:style>
  <w:style w:type="paragraph" w:styleId="IntenseQuote">
    <w:name w:val="Intense Quote"/>
    <w:basedOn w:val="Normal"/>
    <w:next w:val="Normal"/>
    <w:link w:val="IntenseQuoteChar"/>
    <w:uiPriority w:val="30"/>
    <w:qFormat/>
    <w:rsid w:val="007E62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262"/>
    <w:rPr>
      <w:b/>
      <w:bCs/>
      <w:i/>
      <w:iCs/>
      <w:color w:val="4F81BD" w:themeColor="accent1"/>
    </w:rPr>
  </w:style>
  <w:style w:type="character" w:styleId="SubtleEmphasis">
    <w:name w:val="Subtle Emphasis"/>
    <w:uiPriority w:val="19"/>
    <w:qFormat/>
    <w:rsid w:val="007E6262"/>
    <w:rPr>
      <w:i/>
      <w:iCs/>
      <w:color w:val="808080" w:themeColor="text1" w:themeTint="7F"/>
    </w:rPr>
  </w:style>
  <w:style w:type="character" w:styleId="IntenseEmphasis">
    <w:name w:val="Intense Emphasis"/>
    <w:uiPriority w:val="21"/>
    <w:qFormat/>
    <w:rsid w:val="007E6262"/>
    <w:rPr>
      <w:b/>
      <w:bCs/>
      <w:i/>
      <w:iCs/>
      <w:color w:val="4F81BD" w:themeColor="accent1"/>
    </w:rPr>
  </w:style>
  <w:style w:type="character" w:styleId="SubtleReference">
    <w:name w:val="Subtle Reference"/>
    <w:uiPriority w:val="31"/>
    <w:qFormat/>
    <w:rsid w:val="007E6262"/>
    <w:rPr>
      <w:smallCaps/>
      <w:color w:val="C0504D" w:themeColor="accent2"/>
      <w:u w:val="single"/>
    </w:rPr>
  </w:style>
  <w:style w:type="character" w:styleId="IntenseReference">
    <w:name w:val="Intense Reference"/>
    <w:uiPriority w:val="32"/>
    <w:qFormat/>
    <w:rsid w:val="007E6262"/>
    <w:rPr>
      <w:b/>
      <w:bCs/>
      <w:smallCaps/>
      <w:color w:val="C0504D" w:themeColor="accent2"/>
      <w:spacing w:val="5"/>
      <w:u w:val="single"/>
    </w:rPr>
  </w:style>
  <w:style w:type="character" w:styleId="BookTitle">
    <w:name w:val="Book Title"/>
    <w:uiPriority w:val="33"/>
    <w:qFormat/>
    <w:rsid w:val="007E6262"/>
    <w:rPr>
      <w:b/>
      <w:bCs/>
      <w:smallCaps/>
      <w:spacing w:val="5"/>
    </w:rPr>
  </w:style>
  <w:style w:type="paragraph" w:styleId="TOCHeading">
    <w:name w:val="TOC Heading"/>
    <w:basedOn w:val="Heading1"/>
    <w:next w:val="Normal"/>
    <w:uiPriority w:val="39"/>
    <w:semiHidden/>
    <w:unhideWhenUsed/>
    <w:qFormat/>
    <w:rsid w:val="007E6262"/>
    <w:pPr>
      <w:outlineLvl w:val="9"/>
    </w:pPr>
  </w:style>
  <w:style w:type="character" w:styleId="FollowedHyperlink">
    <w:name w:val="FollowedHyperlink"/>
    <w:basedOn w:val="DefaultParagraphFont"/>
    <w:uiPriority w:val="99"/>
    <w:semiHidden/>
    <w:unhideWhenUsed/>
    <w:rsid w:val="00975E18"/>
    <w:rPr>
      <w:color w:val="800080" w:themeColor="followedHyperlink"/>
      <w:u w:val="single"/>
    </w:rPr>
  </w:style>
  <w:style w:type="paragraph" w:styleId="TOC1">
    <w:name w:val="toc 1"/>
    <w:basedOn w:val="Normal"/>
    <w:next w:val="Normal"/>
    <w:autoRedefine/>
    <w:uiPriority w:val="39"/>
    <w:unhideWhenUsed/>
    <w:rsid w:val="00127180"/>
    <w:pPr>
      <w:spacing w:after="100"/>
    </w:pPr>
  </w:style>
  <w:style w:type="paragraph" w:styleId="TOC2">
    <w:name w:val="toc 2"/>
    <w:basedOn w:val="Normal"/>
    <w:next w:val="Normal"/>
    <w:autoRedefine/>
    <w:uiPriority w:val="39"/>
    <w:unhideWhenUsed/>
    <w:rsid w:val="00127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cinesmanagement.doncasterccg.nhs.uk/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NCCG.Medicinesmanagementadmin@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0215-BB38-4E8D-BCD1-1D5C235A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Jennifer</dc:creator>
  <cp:lastModifiedBy>Cox, Jennifer</cp:lastModifiedBy>
  <cp:revision>2</cp:revision>
  <cp:lastPrinted>2018-09-17T09:50:00Z</cp:lastPrinted>
  <dcterms:created xsi:type="dcterms:W3CDTF">2018-09-19T10:35:00Z</dcterms:created>
  <dcterms:modified xsi:type="dcterms:W3CDTF">2018-09-19T10:35:00Z</dcterms:modified>
</cp:coreProperties>
</file>